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5546" w:rsidRPr="00BE3426" w:rsidRDefault="00FD5546" w:rsidP="00BE3426">
      <w:pPr>
        <w:spacing w:before="120" w:after="120"/>
        <w:ind w:right="395"/>
        <w:jc w:val="right"/>
        <w:rPr>
          <w:rFonts w:ascii="Times New Roman" w:hAnsi="Times New Roman"/>
          <w:b/>
        </w:rPr>
      </w:pPr>
      <w:r w:rsidRPr="00BE3426">
        <w:rPr>
          <w:rFonts w:ascii="Times New Roman" w:hAnsi="Times New Roman"/>
          <w:b/>
        </w:rPr>
        <w:t>Tabella comparazione Regolamenti 2014-2020 / 2007-2013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99"/>
        <w:gridCol w:w="7694"/>
      </w:tblGrid>
      <w:tr w:rsidR="00FD5546" w:rsidRPr="001B0899" w:rsidTr="00CF4D2B">
        <w:trPr>
          <w:trHeight w:val="737"/>
        </w:trPr>
        <w:tc>
          <w:tcPr>
            <w:tcW w:w="15393" w:type="dxa"/>
            <w:gridSpan w:val="2"/>
            <w:shd w:val="clear" w:color="auto" w:fill="D9D9D9"/>
          </w:tcPr>
          <w:p w:rsidR="00FD5546" w:rsidRPr="00020DD2" w:rsidRDefault="00FD5546" w:rsidP="001B0899">
            <w:pPr>
              <w:spacing w:line="240" w:lineRule="auto"/>
              <w:jc w:val="center"/>
              <w:rPr>
                <w:rFonts w:ascii="Times New Roman" w:hAnsi="Times New Roman"/>
                <w:b/>
                <w:sz w:val="10"/>
                <w:szCs w:val="10"/>
              </w:rPr>
            </w:pPr>
          </w:p>
          <w:p w:rsidR="00FD5546" w:rsidRPr="001B0899" w:rsidRDefault="00FD5546" w:rsidP="001B0899">
            <w:pPr>
              <w:spacing w:line="240" w:lineRule="auto"/>
              <w:jc w:val="center"/>
              <w:rPr>
                <w:rFonts w:ascii="Times New Roman" w:hAnsi="Times New Roman"/>
                <w:b/>
                <w:sz w:val="20"/>
                <w:szCs w:val="20"/>
              </w:rPr>
            </w:pPr>
            <w:r>
              <w:rPr>
                <w:rFonts w:ascii="Times New Roman" w:hAnsi="Times New Roman"/>
                <w:b/>
                <w:sz w:val="20"/>
                <w:szCs w:val="20"/>
              </w:rPr>
              <w:t>SEMPLIFICA</w:t>
            </w:r>
            <w:r w:rsidRPr="001B0899">
              <w:rPr>
                <w:rFonts w:ascii="Times New Roman" w:hAnsi="Times New Roman"/>
                <w:b/>
                <w:sz w:val="20"/>
                <w:szCs w:val="20"/>
              </w:rPr>
              <w:t>Z</w:t>
            </w:r>
            <w:r>
              <w:rPr>
                <w:rFonts w:ascii="Times New Roman" w:hAnsi="Times New Roman"/>
                <w:b/>
                <w:sz w:val="20"/>
                <w:szCs w:val="20"/>
              </w:rPr>
              <w:t>I</w:t>
            </w:r>
            <w:r w:rsidRPr="001B0899">
              <w:rPr>
                <w:rFonts w:ascii="Times New Roman" w:hAnsi="Times New Roman"/>
                <w:b/>
                <w:sz w:val="20"/>
                <w:szCs w:val="20"/>
              </w:rPr>
              <w:t>ONE DEI COSTI</w:t>
            </w:r>
          </w:p>
        </w:tc>
      </w:tr>
      <w:tr w:rsidR="00FD5546" w:rsidRPr="005B4716" w:rsidTr="00E56D7C">
        <w:tc>
          <w:tcPr>
            <w:tcW w:w="7699" w:type="dxa"/>
            <w:shd w:val="clear" w:color="auto" w:fill="BDD6EE"/>
          </w:tcPr>
          <w:p w:rsidR="00FD5546" w:rsidRPr="005B4716" w:rsidRDefault="00FD5546" w:rsidP="00E56D7C">
            <w:pPr>
              <w:spacing w:before="120" w:after="120" w:line="240" w:lineRule="auto"/>
              <w:jc w:val="center"/>
              <w:rPr>
                <w:rFonts w:ascii="Times New Roman" w:hAnsi="Times New Roman"/>
                <w:b/>
                <w:sz w:val="20"/>
                <w:szCs w:val="20"/>
              </w:rPr>
            </w:pPr>
            <w:r w:rsidRPr="005B4716">
              <w:rPr>
                <w:rFonts w:ascii="Times New Roman" w:hAnsi="Times New Roman"/>
                <w:b/>
                <w:sz w:val="20"/>
                <w:szCs w:val="20"/>
              </w:rPr>
              <w:t>NUOVO REGOLAMENTO recante DISPOSIZIONI COMUNI [2014-2020]</w:t>
            </w:r>
          </w:p>
          <w:p w:rsidR="00FD5546" w:rsidRPr="005B4716" w:rsidRDefault="00FD5546" w:rsidP="00E56D7C">
            <w:pPr>
              <w:spacing w:before="120" w:after="120" w:line="240" w:lineRule="auto"/>
              <w:jc w:val="center"/>
              <w:rPr>
                <w:rFonts w:ascii="Times New Roman" w:hAnsi="Times New Roman"/>
                <w:b/>
                <w:sz w:val="20"/>
                <w:szCs w:val="20"/>
              </w:rPr>
            </w:pPr>
            <w:r w:rsidRPr="005B4716">
              <w:rPr>
                <w:rFonts w:ascii="Times New Roman" w:hAnsi="Times New Roman"/>
                <w:b/>
                <w:sz w:val="20"/>
                <w:szCs w:val="20"/>
              </w:rPr>
              <w:t>Regolamento UE 1303/2013 del Parlamento e del Consiglio</w:t>
            </w:r>
          </w:p>
        </w:tc>
        <w:tc>
          <w:tcPr>
            <w:tcW w:w="7694" w:type="dxa"/>
            <w:shd w:val="clear" w:color="auto" w:fill="BDD6EE"/>
          </w:tcPr>
          <w:p w:rsidR="00FD5546" w:rsidRPr="005B4716" w:rsidRDefault="00FD5546" w:rsidP="00E56D7C">
            <w:pPr>
              <w:spacing w:before="120" w:after="120" w:line="240" w:lineRule="auto"/>
              <w:jc w:val="center"/>
              <w:rPr>
                <w:rFonts w:ascii="Times New Roman" w:hAnsi="Times New Roman"/>
                <w:b/>
                <w:sz w:val="20"/>
                <w:szCs w:val="20"/>
              </w:rPr>
            </w:pPr>
            <w:r w:rsidRPr="005B4716">
              <w:rPr>
                <w:rFonts w:ascii="Times New Roman" w:hAnsi="Times New Roman"/>
                <w:b/>
                <w:sz w:val="20"/>
                <w:szCs w:val="20"/>
              </w:rPr>
              <w:t>REGOLAMENTO FSE [2007-2013]</w:t>
            </w:r>
          </w:p>
          <w:p w:rsidR="00FD5546" w:rsidRPr="005B4716" w:rsidRDefault="00FD5546" w:rsidP="00E56D7C">
            <w:pPr>
              <w:spacing w:before="120" w:after="120" w:line="240" w:lineRule="auto"/>
              <w:jc w:val="center"/>
              <w:rPr>
                <w:rFonts w:ascii="Times New Roman" w:hAnsi="Times New Roman"/>
                <w:b/>
                <w:sz w:val="20"/>
                <w:szCs w:val="20"/>
              </w:rPr>
            </w:pPr>
            <w:r w:rsidRPr="005B4716">
              <w:rPr>
                <w:rFonts w:ascii="Times New Roman" w:hAnsi="Times New Roman"/>
                <w:b/>
                <w:sz w:val="20"/>
                <w:szCs w:val="20"/>
              </w:rPr>
              <w:t>Regolamento CE 1081/2006 del Consiglio</w:t>
            </w:r>
          </w:p>
        </w:tc>
      </w:tr>
      <w:tr w:rsidR="00FD5546" w:rsidRPr="005B4716" w:rsidTr="00E56D7C">
        <w:tc>
          <w:tcPr>
            <w:tcW w:w="7699" w:type="dxa"/>
          </w:tcPr>
          <w:p w:rsidR="00FD5546" w:rsidRPr="005B4716" w:rsidRDefault="00FD5546" w:rsidP="00E56D7C">
            <w:pPr>
              <w:keepNext/>
              <w:spacing w:before="120" w:after="120" w:line="240" w:lineRule="auto"/>
              <w:jc w:val="both"/>
              <w:rPr>
                <w:rFonts w:ascii="Times New Roman" w:hAnsi="Times New Roman"/>
                <w:b/>
                <w:i/>
                <w:sz w:val="20"/>
                <w:szCs w:val="20"/>
              </w:rPr>
            </w:pPr>
            <w:r w:rsidRPr="005B4716">
              <w:rPr>
                <w:rFonts w:ascii="Times New Roman" w:hAnsi="Times New Roman"/>
                <w:b/>
                <w:i/>
                <w:sz w:val="20"/>
                <w:szCs w:val="20"/>
              </w:rPr>
              <w:t>Articolo 66</w:t>
            </w:r>
          </w:p>
          <w:p w:rsidR="00FD5546" w:rsidRPr="005B4716" w:rsidRDefault="00FD5546" w:rsidP="00E56D7C">
            <w:pPr>
              <w:keepNext/>
              <w:spacing w:before="120" w:after="120" w:line="240" w:lineRule="auto"/>
              <w:jc w:val="both"/>
              <w:rPr>
                <w:rFonts w:ascii="Times New Roman" w:hAnsi="Times New Roman"/>
                <w:b/>
                <w:i/>
                <w:sz w:val="20"/>
                <w:szCs w:val="20"/>
              </w:rPr>
            </w:pPr>
            <w:r w:rsidRPr="005B4716">
              <w:rPr>
                <w:rFonts w:ascii="Times New Roman" w:hAnsi="Times New Roman"/>
                <w:b/>
                <w:i/>
                <w:sz w:val="20"/>
                <w:szCs w:val="20"/>
              </w:rPr>
              <w:t>Forme di sostegno</w:t>
            </w:r>
          </w:p>
        </w:tc>
        <w:tc>
          <w:tcPr>
            <w:tcW w:w="7694" w:type="dxa"/>
          </w:tcPr>
          <w:p w:rsidR="00FD5546" w:rsidRPr="005B4716" w:rsidRDefault="00FD5546" w:rsidP="00E56D7C">
            <w:pPr>
              <w:spacing w:before="120" w:after="120" w:line="240" w:lineRule="auto"/>
              <w:jc w:val="center"/>
              <w:rPr>
                <w:rFonts w:ascii="Times New Roman" w:hAnsi="Times New Roman"/>
                <w:b/>
                <w:sz w:val="20"/>
                <w:szCs w:val="20"/>
              </w:rPr>
            </w:pPr>
            <w:r w:rsidRPr="005B4716">
              <w:rPr>
                <w:rFonts w:ascii="Times New Roman" w:hAnsi="Times New Roman"/>
                <w:b/>
                <w:sz w:val="20"/>
                <w:szCs w:val="20"/>
              </w:rPr>
              <w:t>Articolo 11</w:t>
            </w:r>
          </w:p>
          <w:p w:rsidR="00FD5546" w:rsidRPr="005B4716" w:rsidRDefault="00FD5546" w:rsidP="00E56D7C">
            <w:pPr>
              <w:spacing w:before="120" w:after="120" w:line="240" w:lineRule="auto"/>
              <w:jc w:val="center"/>
              <w:rPr>
                <w:rFonts w:ascii="Times New Roman" w:hAnsi="Times New Roman"/>
                <w:b/>
                <w:sz w:val="20"/>
                <w:szCs w:val="20"/>
              </w:rPr>
            </w:pPr>
            <w:r w:rsidRPr="005B4716">
              <w:rPr>
                <w:rFonts w:ascii="Times New Roman" w:hAnsi="Times New Roman"/>
                <w:b/>
                <w:sz w:val="20"/>
                <w:szCs w:val="20"/>
              </w:rPr>
              <w:t>Ammissibilità delle spese</w:t>
            </w:r>
          </w:p>
        </w:tc>
      </w:tr>
      <w:tr w:rsidR="00FD5546" w:rsidRPr="005B4716" w:rsidTr="007624A8">
        <w:trPr>
          <w:trHeight w:val="1745"/>
        </w:trPr>
        <w:tc>
          <w:tcPr>
            <w:tcW w:w="7699" w:type="dxa"/>
          </w:tcPr>
          <w:p w:rsidR="00FD5546" w:rsidRPr="005B4716" w:rsidRDefault="00FD5546" w:rsidP="00E56D7C">
            <w:pPr>
              <w:spacing w:before="120" w:after="120" w:line="240" w:lineRule="auto"/>
              <w:jc w:val="both"/>
              <w:rPr>
                <w:rFonts w:ascii="Times New Roman" w:hAnsi="Times New Roman"/>
                <w:sz w:val="20"/>
                <w:szCs w:val="20"/>
              </w:rPr>
            </w:pPr>
            <w:r w:rsidRPr="005B4716">
              <w:rPr>
                <w:rFonts w:ascii="Times New Roman" w:hAnsi="Times New Roman"/>
                <w:sz w:val="20"/>
                <w:szCs w:val="20"/>
              </w:rPr>
              <w:t>I fondi SIE sono utilizzati per fornire sostegno sotto forma di sovvenzioni, premi, assistenza rimborsabile e strumenti finanziari o una combinazione degli stessi.</w:t>
            </w:r>
          </w:p>
          <w:p w:rsidR="00FD5546" w:rsidRPr="005B4716" w:rsidRDefault="00FD5546" w:rsidP="00E56D7C">
            <w:pPr>
              <w:spacing w:before="120" w:after="120"/>
              <w:jc w:val="both"/>
              <w:rPr>
                <w:rFonts w:ascii="Times New Roman" w:hAnsi="Times New Roman"/>
                <w:sz w:val="20"/>
                <w:szCs w:val="20"/>
              </w:rPr>
            </w:pPr>
            <w:r w:rsidRPr="005B4716">
              <w:rPr>
                <w:rFonts w:ascii="Times New Roman" w:hAnsi="Times New Roman"/>
                <w:sz w:val="20"/>
                <w:szCs w:val="20"/>
              </w:rPr>
              <w:t>Nel caso dell'assistenza rimborsabile, il sostegno rimborsato all'organismo che l'ha fornito o a un'altra autorità competente dello Stato membro è registrato in un conto separato oppure con codici contabili distinti e reimpiegato allo stesso scopo o in linea con gli obiettivi del programma.</w:t>
            </w:r>
          </w:p>
        </w:tc>
        <w:tc>
          <w:tcPr>
            <w:tcW w:w="7694" w:type="dxa"/>
          </w:tcPr>
          <w:p w:rsidR="00FD5546" w:rsidRPr="005B4716" w:rsidRDefault="00FD5546" w:rsidP="003F458C">
            <w:pPr>
              <w:spacing w:before="120" w:after="120" w:line="240" w:lineRule="auto"/>
              <w:jc w:val="both"/>
              <w:rPr>
                <w:rFonts w:ascii="Times New Roman" w:hAnsi="Times New Roman"/>
                <w:sz w:val="20"/>
                <w:szCs w:val="20"/>
              </w:rPr>
            </w:pPr>
            <w:r w:rsidRPr="005B4716">
              <w:rPr>
                <w:rFonts w:ascii="Times New Roman" w:hAnsi="Times New Roman"/>
                <w:sz w:val="20"/>
                <w:szCs w:val="20"/>
              </w:rPr>
              <w:t xml:space="preserve">1. </w:t>
            </w:r>
            <w:r>
              <w:rPr>
                <w:rFonts w:ascii="Times New Roman" w:hAnsi="Times New Roman"/>
                <w:sz w:val="20"/>
                <w:szCs w:val="20"/>
              </w:rPr>
              <w:t>[….]</w:t>
            </w:r>
            <w:r w:rsidRPr="005B4716">
              <w:rPr>
                <w:rFonts w:ascii="Times New Roman" w:hAnsi="Times New Roman"/>
                <w:sz w:val="20"/>
                <w:szCs w:val="20"/>
              </w:rPr>
              <w:t xml:space="preserve"> L</w:t>
            </w:r>
            <w:r w:rsidR="003F458C">
              <w:rPr>
                <w:rFonts w:ascii="Times New Roman" w:hAnsi="Times New Roman"/>
                <w:sz w:val="20"/>
                <w:szCs w:val="20"/>
              </w:rPr>
              <w:t>’</w:t>
            </w:r>
            <w:r w:rsidRPr="005B4716">
              <w:rPr>
                <w:rFonts w:ascii="Times New Roman" w:hAnsi="Times New Roman"/>
                <w:sz w:val="20"/>
                <w:szCs w:val="20"/>
              </w:rPr>
              <w:t xml:space="preserve">assistenza assume la forma di sovvenzioni individuali o globali non rimborsabili, sovvenzioni rimborsabili, abbuoni di interessi sui prestiti, </w:t>
            </w:r>
            <w:proofErr w:type="spellStart"/>
            <w:r w:rsidRPr="005B4716">
              <w:rPr>
                <w:rFonts w:ascii="Times New Roman" w:hAnsi="Times New Roman"/>
                <w:sz w:val="20"/>
                <w:szCs w:val="20"/>
              </w:rPr>
              <w:t>microcrediti</w:t>
            </w:r>
            <w:proofErr w:type="spellEnd"/>
            <w:r w:rsidRPr="005B4716">
              <w:rPr>
                <w:rFonts w:ascii="Times New Roman" w:hAnsi="Times New Roman"/>
                <w:sz w:val="20"/>
                <w:szCs w:val="20"/>
              </w:rPr>
              <w:t>, fondi di garanzia e acquisizione di beni e servizi conformemente alle norme in materia di appalti pubblici.</w:t>
            </w:r>
          </w:p>
        </w:tc>
      </w:tr>
      <w:tr w:rsidR="00FD5546" w:rsidRPr="005B4716" w:rsidTr="00E56D7C">
        <w:tc>
          <w:tcPr>
            <w:tcW w:w="7699" w:type="dxa"/>
          </w:tcPr>
          <w:p w:rsidR="00FD5546" w:rsidRPr="005B4716" w:rsidRDefault="00FD5546" w:rsidP="00E56D7C">
            <w:pPr>
              <w:spacing w:before="120" w:after="120" w:line="240" w:lineRule="auto"/>
              <w:jc w:val="both"/>
              <w:rPr>
                <w:rFonts w:ascii="Times New Roman" w:hAnsi="Times New Roman"/>
                <w:b/>
                <w:i/>
                <w:sz w:val="20"/>
                <w:szCs w:val="20"/>
              </w:rPr>
            </w:pPr>
            <w:r w:rsidRPr="005B4716">
              <w:rPr>
                <w:rFonts w:ascii="Times New Roman" w:hAnsi="Times New Roman"/>
                <w:b/>
                <w:i/>
                <w:sz w:val="20"/>
                <w:szCs w:val="20"/>
              </w:rPr>
              <w:t>Articolo 67</w:t>
            </w:r>
          </w:p>
          <w:p w:rsidR="00FD5546" w:rsidRPr="005B4716" w:rsidRDefault="00FD5546" w:rsidP="00E56D7C">
            <w:pPr>
              <w:spacing w:before="120" w:after="120" w:line="240" w:lineRule="auto"/>
              <w:jc w:val="both"/>
              <w:rPr>
                <w:rFonts w:ascii="Times New Roman" w:hAnsi="Times New Roman"/>
                <w:b/>
                <w:i/>
                <w:sz w:val="20"/>
                <w:szCs w:val="20"/>
              </w:rPr>
            </w:pPr>
            <w:r w:rsidRPr="005B4716">
              <w:rPr>
                <w:rFonts w:ascii="Times New Roman" w:hAnsi="Times New Roman"/>
                <w:b/>
                <w:i/>
                <w:sz w:val="20"/>
                <w:szCs w:val="20"/>
              </w:rPr>
              <w:t>Forme di sovvenzioni e assistenza rimborsabile</w:t>
            </w:r>
          </w:p>
        </w:tc>
        <w:tc>
          <w:tcPr>
            <w:tcW w:w="7694" w:type="dxa"/>
          </w:tcPr>
          <w:p w:rsidR="00FD5546" w:rsidRPr="005B4716" w:rsidRDefault="00FD5546" w:rsidP="004A5BE7">
            <w:pPr>
              <w:spacing w:before="120" w:after="120" w:line="240" w:lineRule="auto"/>
              <w:jc w:val="center"/>
              <w:rPr>
                <w:rFonts w:ascii="Times New Roman" w:hAnsi="Times New Roman"/>
                <w:b/>
                <w:sz w:val="20"/>
                <w:szCs w:val="20"/>
              </w:rPr>
            </w:pPr>
            <w:r w:rsidRPr="005B4716">
              <w:rPr>
                <w:rFonts w:ascii="Times New Roman" w:hAnsi="Times New Roman"/>
                <w:b/>
                <w:sz w:val="20"/>
                <w:szCs w:val="20"/>
              </w:rPr>
              <w:t>Articolo 11</w:t>
            </w:r>
          </w:p>
          <w:p w:rsidR="00FD5546" w:rsidRPr="005B4716" w:rsidRDefault="00FD5546" w:rsidP="004A5BE7">
            <w:pPr>
              <w:spacing w:before="120" w:after="120" w:line="240" w:lineRule="auto"/>
              <w:jc w:val="center"/>
              <w:rPr>
                <w:rFonts w:ascii="Times New Roman" w:hAnsi="Times New Roman"/>
                <w:sz w:val="20"/>
                <w:szCs w:val="20"/>
              </w:rPr>
            </w:pPr>
            <w:r w:rsidRPr="005B4716">
              <w:rPr>
                <w:rFonts w:ascii="Times New Roman" w:hAnsi="Times New Roman"/>
                <w:b/>
                <w:sz w:val="20"/>
                <w:szCs w:val="20"/>
              </w:rPr>
              <w:t>Ammissibilità delle spese</w:t>
            </w:r>
          </w:p>
        </w:tc>
      </w:tr>
      <w:tr w:rsidR="00FD5546" w:rsidRPr="005B4716" w:rsidTr="00E56D7C">
        <w:tc>
          <w:tcPr>
            <w:tcW w:w="7699" w:type="dxa"/>
          </w:tcPr>
          <w:p w:rsidR="00FD5546" w:rsidRPr="005B4716" w:rsidRDefault="00FD5546" w:rsidP="00E56D7C">
            <w:pPr>
              <w:spacing w:before="120" w:after="120" w:line="240" w:lineRule="auto"/>
              <w:jc w:val="both"/>
              <w:rPr>
                <w:rFonts w:ascii="Times New Roman" w:hAnsi="Times New Roman"/>
                <w:sz w:val="20"/>
                <w:szCs w:val="20"/>
              </w:rPr>
            </w:pPr>
            <w:r w:rsidRPr="005B4716">
              <w:rPr>
                <w:rFonts w:ascii="Times New Roman" w:hAnsi="Times New Roman"/>
                <w:sz w:val="20"/>
                <w:szCs w:val="20"/>
              </w:rPr>
              <w:t>1. Le sovvenzioni e l'assistenza rimborsabile possono assumere una delle seguenti forme:</w:t>
            </w:r>
          </w:p>
          <w:p w:rsidR="00FD5546" w:rsidRPr="005B4716" w:rsidRDefault="00FD5546" w:rsidP="00E56D7C">
            <w:pPr>
              <w:spacing w:before="120" w:after="120" w:line="240" w:lineRule="auto"/>
              <w:jc w:val="both"/>
              <w:rPr>
                <w:rFonts w:ascii="Times New Roman" w:hAnsi="Times New Roman"/>
                <w:sz w:val="20"/>
                <w:szCs w:val="20"/>
              </w:rPr>
            </w:pPr>
            <w:r w:rsidRPr="005B4716">
              <w:rPr>
                <w:rFonts w:ascii="Times New Roman" w:hAnsi="Times New Roman"/>
                <w:sz w:val="20"/>
                <w:szCs w:val="20"/>
              </w:rPr>
              <w:t>a) rimborso dei costi ammissibili effettivamente sostenuti e pagati unitamente, se del caso, a contributi in natura e ammortamenti;</w:t>
            </w:r>
          </w:p>
          <w:p w:rsidR="00FD5546" w:rsidRPr="005B4716" w:rsidRDefault="00FD5546" w:rsidP="00E56D7C">
            <w:pPr>
              <w:spacing w:before="120" w:after="120" w:line="240" w:lineRule="auto"/>
              <w:jc w:val="both"/>
              <w:rPr>
                <w:rFonts w:ascii="Times New Roman" w:hAnsi="Times New Roman"/>
                <w:sz w:val="20"/>
                <w:szCs w:val="20"/>
              </w:rPr>
            </w:pPr>
            <w:r w:rsidRPr="005B4716">
              <w:rPr>
                <w:rFonts w:ascii="Times New Roman" w:hAnsi="Times New Roman"/>
                <w:sz w:val="20"/>
                <w:szCs w:val="20"/>
              </w:rPr>
              <w:t>b) tabelle standard di costi unitari;</w:t>
            </w:r>
          </w:p>
          <w:p w:rsidR="00FD5546" w:rsidRPr="005B4716" w:rsidRDefault="00FD5546" w:rsidP="00E56D7C">
            <w:pPr>
              <w:spacing w:before="120" w:after="120" w:line="240" w:lineRule="auto"/>
              <w:jc w:val="both"/>
              <w:rPr>
                <w:rFonts w:ascii="Times New Roman" w:hAnsi="Times New Roman"/>
                <w:sz w:val="20"/>
                <w:szCs w:val="20"/>
              </w:rPr>
            </w:pPr>
            <w:r w:rsidRPr="005B4716">
              <w:rPr>
                <w:rFonts w:ascii="Times New Roman" w:hAnsi="Times New Roman"/>
                <w:sz w:val="20"/>
                <w:szCs w:val="20"/>
              </w:rPr>
              <w:t>c) somme forfettarie non superiori a 100 000 EUR di contributo pubblico;</w:t>
            </w:r>
          </w:p>
          <w:p w:rsidR="00FD5546" w:rsidRPr="005B4716" w:rsidRDefault="00FD5546" w:rsidP="00E56D7C">
            <w:pPr>
              <w:spacing w:before="120" w:after="120" w:line="240" w:lineRule="auto"/>
              <w:jc w:val="both"/>
              <w:rPr>
                <w:rFonts w:ascii="Times New Roman" w:hAnsi="Times New Roman"/>
                <w:sz w:val="20"/>
                <w:szCs w:val="20"/>
              </w:rPr>
            </w:pPr>
            <w:r w:rsidRPr="005B4716">
              <w:rPr>
                <w:rFonts w:ascii="Times New Roman" w:hAnsi="Times New Roman"/>
                <w:sz w:val="20"/>
                <w:szCs w:val="20"/>
              </w:rPr>
              <w:t>d) finanziamenti a tasso forfettario, calcolati applicando una determinata percentuale a una o più categorie di costo definite.</w:t>
            </w:r>
          </w:p>
          <w:p w:rsidR="00FD5546" w:rsidRPr="005B4716" w:rsidRDefault="00FD5546" w:rsidP="00E56D7C">
            <w:pPr>
              <w:spacing w:before="120" w:after="120" w:line="240" w:lineRule="auto"/>
              <w:jc w:val="both"/>
              <w:rPr>
                <w:rFonts w:ascii="Times New Roman" w:hAnsi="Times New Roman"/>
                <w:sz w:val="20"/>
                <w:szCs w:val="20"/>
              </w:rPr>
            </w:pPr>
            <w:r w:rsidRPr="005B4716">
              <w:rPr>
                <w:rFonts w:ascii="Times New Roman" w:hAnsi="Times New Roman"/>
                <w:sz w:val="20"/>
                <w:szCs w:val="20"/>
              </w:rPr>
              <w:t>Le norme specifiche di ciascun Fondo possono limitare le forme di sovvenzione o di assistenza rimborsabile applicabile a determinate operazioni</w:t>
            </w:r>
          </w:p>
        </w:tc>
        <w:tc>
          <w:tcPr>
            <w:tcW w:w="7694" w:type="dxa"/>
          </w:tcPr>
          <w:p w:rsidR="00FD5546" w:rsidRPr="005B4716" w:rsidRDefault="00FD5546" w:rsidP="004A5BE7">
            <w:pPr>
              <w:autoSpaceDE w:val="0"/>
              <w:autoSpaceDN w:val="0"/>
              <w:adjustRightInd w:val="0"/>
              <w:spacing w:after="0" w:line="240" w:lineRule="auto"/>
              <w:jc w:val="both"/>
              <w:rPr>
                <w:rFonts w:ascii="Times New Roman" w:hAnsi="Times New Roman"/>
                <w:sz w:val="20"/>
                <w:szCs w:val="20"/>
              </w:rPr>
            </w:pPr>
            <w:r w:rsidRPr="005B4716">
              <w:rPr>
                <w:rFonts w:ascii="Times New Roman" w:hAnsi="Times New Roman"/>
                <w:sz w:val="20"/>
                <w:szCs w:val="20"/>
              </w:rPr>
              <w:t>3. Le spese seguenti sono considerate</w:t>
            </w:r>
            <w:r>
              <w:rPr>
                <w:rFonts w:ascii="Times New Roman" w:hAnsi="Times New Roman"/>
                <w:sz w:val="20"/>
                <w:szCs w:val="20"/>
              </w:rPr>
              <w:t xml:space="preserve"> ammissibili</w:t>
            </w:r>
            <w:r w:rsidRPr="005B4716">
              <w:rPr>
                <w:rFonts w:ascii="Times New Roman" w:hAnsi="Times New Roman"/>
                <w:sz w:val="20"/>
                <w:szCs w:val="20"/>
              </w:rPr>
              <w:t xml:space="preserve"> </w:t>
            </w:r>
            <w:proofErr w:type="gramStart"/>
            <w:r>
              <w:rPr>
                <w:rFonts w:ascii="Times New Roman" w:hAnsi="Times New Roman"/>
                <w:sz w:val="20"/>
                <w:szCs w:val="20"/>
              </w:rPr>
              <w:t>[….</w:t>
            </w:r>
            <w:proofErr w:type="gramEnd"/>
            <w:r>
              <w:rPr>
                <w:rFonts w:ascii="Times New Roman" w:hAnsi="Times New Roman"/>
                <w:sz w:val="20"/>
                <w:szCs w:val="20"/>
              </w:rPr>
              <w:t>]:</w:t>
            </w:r>
          </w:p>
          <w:p w:rsidR="00FD5546" w:rsidRPr="005B4716" w:rsidRDefault="00FD5546" w:rsidP="004A5BE7">
            <w:pPr>
              <w:autoSpaceDE w:val="0"/>
              <w:autoSpaceDN w:val="0"/>
              <w:adjustRightInd w:val="0"/>
              <w:spacing w:after="0" w:line="240" w:lineRule="auto"/>
              <w:jc w:val="both"/>
              <w:rPr>
                <w:rFonts w:ascii="Times New Roman" w:hAnsi="Times New Roman"/>
                <w:sz w:val="20"/>
                <w:szCs w:val="20"/>
              </w:rPr>
            </w:pPr>
            <w:r w:rsidRPr="005B4716">
              <w:rPr>
                <w:rFonts w:ascii="Times New Roman" w:hAnsi="Times New Roman"/>
                <w:sz w:val="20"/>
                <w:szCs w:val="20"/>
              </w:rPr>
              <w:t>b) nel caso di sovvenzioni:</w:t>
            </w:r>
          </w:p>
          <w:p w:rsidR="00FD5546" w:rsidRPr="005B4716" w:rsidRDefault="00FD5546" w:rsidP="004A5BE7">
            <w:pPr>
              <w:autoSpaceDE w:val="0"/>
              <w:autoSpaceDN w:val="0"/>
              <w:adjustRightInd w:val="0"/>
              <w:spacing w:after="0" w:line="240" w:lineRule="auto"/>
              <w:jc w:val="both"/>
              <w:rPr>
                <w:rFonts w:ascii="Times New Roman" w:hAnsi="Times New Roman"/>
                <w:sz w:val="20"/>
                <w:szCs w:val="20"/>
              </w:rPr>
            </w:pPr>
            <w:r w:rsidRPr="005B4716">
              <w:rPr>
                <w:rFonts w:ascii="Times New Roman" w:hAnsi="Times New Roman"/>
                <w:sz w:val="20"/>
                <w:szCs w:val="20"/>
              </w:rPr>
              <w:t>i) i costi indiretti, dichiarati su base forfettaria, fino al 20 % dei costi diretti di un’operazione;</w:t>
            </w:r>
          </w:p>
          <w:p w:rsidR="00FD5546" w:rsidRPr="005B4716" w:rsidRDefault="00FD5546" w:rsidP="004A5BE7">
            <w:pPr>
              <w:autoSpaceDE w:val="0"/>
              <w:autoSpaceDN w:val="0"/>
              <w:adjustRightInd w:val="0"/>
              <w:spacing w:after="0" w:line="240" w:lineRule="auto"/>
              <w:jc w:val="both"/>
              <w:rPr>
                <w:rFonts w:ascii="Times New Roman" w:hAnsi="Times New Roman"/>
                <w:sz w:val="20"/>
                <w:szCs w:val="20"/>
              </w:rPr>
            </w:pPr>
            <w:r w:rsidRPr="005B4716">
              <w:rPr>
                <w:rFonts w:ascii="Times New Roman" w:hAnsi="Times New Roman"/>
                <w:sz w:val="20"/>
                <w:szCs w:val="20"/>
              </w:rPr>
              <w:t>ii) i costi fissi calcolati applicando tabelle standard di costi unitari definiti dallo Stato membro;</w:t>
            </w:r>
          </w:p>
          <w:p w:rsidR="00FD5546" w:rsidRDefault="00FD5546" w:rsidP="004A5BE7">
            <w:pPr>
              <w:autoSpaceDE w:val="0"/>
              <w:autoSpaceDN w:val="0"/>
              <w:adjustRightInd w:val="0"/>
              <w:spacing w:after="0" w:line="240" w:lineRule="auto"/>
              <w:jc w:val="both"/>
              <w:rPr>
                <w:rFonts w:ascii="Times New Roman" w:hAnsi="Times New Roman"/>
                <w:sz w:val="20"/>
                <w:szCs w:val="20"/>
              </w:rPr>
            </w:pPr>
            <w:r w:rsidRPr="005B4716">
              <w:rPr>
                <w:rFonts w:ascii="Times New Roman" w:hAnsi="Times New Roman"/>
                <w:sz w:val="20"/>
                <w:szCs w:val="20"/>
              </w:rPr>
              <w:t>iii) somme forfettarie destinate a coprire l’insieme o una parte dei costi di un</w:t>
            </w:r>
            <w:r w:rsidR="003F458C">
              <w:rPr>
                <w:rFonts w:ascii="Times New Roman" w:hAnsi="Times New Roman"/>
                <w:sz w:val="20"/>
                <w:szCs w:val="20"/>
              </w:rPr>
              <w:t xml:space="preserve"> </w:t>
            </w:r>
            <w:r w:rsidRPr="005B4716">
              <w:rPr>
                <w:rFonts w:ascii="Times New Roman" w:hAnsi="Times New Roman"/>
                <w:sz w:val="20"/>
                <w:szCs w:val="20"/>
              </w:rPr>
              <w:t>«operazione»;</w:t>
            </w:r>
          </w:p>
          <w:p w:rsidR="00FD5546" w:rsidRDefault="00FD5546" w:rsidP="004A5BE7">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w:t>
            </w:r>
          </w:p>
          <w:p w:rsidR="00FD5546" w:rsidRPr="005B4716" w:rsidRDefault="00FD5546" w:rsidP="004A5BE7">
            <w:pPr>
              <w:autoSpaceDE w:val="0"/>
              <w:autoSpaceDN w:val="0"/>
              <w:adjustRightInd w:val="0"/>
              <w:spacing w:before="100" w:beforeAutospacing="1" w:after="100" w:afterAutospacing="1" w:line="240" w:lineRule="auto"/>
              <w:jc w:val="both"/>
              <w:rPr>
                <w:rFonts w:ascii="Times New Roman" w:hAnsi="Times New Roman"/>
                <w:sz w:val="20"/>
                <w:szCs w:val="20"/>
              </w:rPr>
            </w:pPr>
            <w:r w:rsidRPr="005B4716">
              <w:rPr>
                <w:rFonts w:ascii="Times New Roman" w:hAnsi="Times New Roman"/>
                <w:sz w:val="20"/>
                <w:szCs w:val="20"/>
              </w:rPr>
              <w:t>I costi di cui alla lettera b), punti i), ii) e iii), sono stabiliti in anticipo sulla base di un calcolo giusto, equo e verificabile.</w:t>
            </w:r>
          </w:p>
          <w:p w:rsidR="00FD5546" w:rsidRPr="005B4716" w:rsidRDefault="00FD5546" w:rsidP="004A5BE7">
            <w:pPr>
              <w:spacing w:before="120" w:after="120" w:line="240" w:lineRule="auto"/>
              <w:jc w:val="both"/>
              <w:rPr>
                <w:rFonts w:ascii="Times New Roman" w:hAnsi="Times New Roman"/>
                <w:sz w:val="20"/>
                <w:szCs w:val="20"/>
              </w:rPr>
            </w:pPr>
            <w:r w:rsidRPr="005B4716">
              <w:rPr>
                <w:rFonts w:ascii="Times New Roman" w:hAnsi="Times New Roman"/>
                <w:sz w:val="20"/>
                <w:szCs w:val="20"/>
              </w:rPr>
              <w:t>L’importo forfettario di cui alla lettera b), punto iii), non eccede la somma di 50 000 EUR.</w:t>
            </w:r>
          </w:p>
        </w:tc>
      </w:tr>
      <w:tr w:rsidR="00FD5546" w:rsidRPr="005B4716" w:rsidTr="00E56D7C">
        <w:tc>
          <w:tcPr>
            <w:tcW w:w="7699" w:type="dxa"/>
          </w:tcPr>
          <w:p w:rsidR="00FD5546" w:rsidRPr="005B4716" w:rsidRDefault="00FD5546" w:rsidP="00E56D7C">
            <w:pPr>
              <w:spacing w:before="120" w:after="120" w:line="240" w:lineRule="auto"/>
              <w:jc w:val="both"/>
              <w:rPr>
                <w:rFonts w:ascii="Times New Roman" w:hAnsi="Times New Roman"/>
                <w:sz w:val="20"/>
                <w:szCs w:val="20"/>
              </w:rPr>
            </w:pPr>
            <w:smartTag w:uri="urn:schemas-microsoft-com:office:smarttags" w:element="metricconverter">
              <w:smartTagPr>
                <w:attr w:name="ProductID" w:val="2. In"/>
              </w:smartTagPr>
              <w:r w:rsidRPr="005B4716">
                <w:rPr>
                  <w:rFonts w:ascii="Times New Roman" w:hAnsi="Times New Roman"/>
                  <w:sz w:val="20"/>
                  <w:szCs w:val="20"/>
                </w:rPr>
                <w:t>2. In</w:t>
              </w:r>
            </w:smartTag>
            <w:r w:rsidRPr="005B4716">
              <w:rPr>
                <w:rFonts w:ascii="Times New Roman" w:hAnsi="Times New Roman"/>
                <w:sz w:val="20"/>
                <w:szCs w:val="20"/>
              </w:rPr>
              <w:t xml:space="preserve"> deroga al paragrafo 1, ulteriori forme di sovvenzione e metodi di calcolo possono essere stabiliti nel regolamento FEAMP.</w:t>
            </w:r>
          </w:p>
        </w:tc>
        <w:tc>
          <w:tcPr>
            <w:tcW w:w="7694" w:type="dxa"/>
          </w:tcPr>
          <w:p w:rsidR="00FD5546" w:rsidRPr="005B4716" w:rsidRDefault="00FD5546" w:rsidP="00E56D7C">
            <w:pPr>
              <w:spacing w:before="120" w:after="120" w:line="240" w:lineRule="auto"/>
              <w:jc w:val="both"/>
              <w:rPr>
                <w:rFonts w:ascii="Times New Roman" w:hAnsi="Times New Roman"/>
                <w:sz w:val="20"/>
                <w:szCs w:val="20"/>
              </w:rPr>
            </w:pPr>
          </w:p>
        </w:tc>
      </w:tr>
      <w:tr w:rsidR="00FD5546" w:rsidRPr="005B4716" w:rsidTr="00E56D7C">
        <w:tc>
          <w:tcPr>
            <w:tcW w:w="7699" w:type="dxa"/>
          </w:tcPr>
          <w:p w:rsidR="00FD5546" w:rsidRPr="005B4716" w:rsidRDefault="00FD5546" w:rsidP="00E56D7C">
            <w:pPr>
              <w:spacing w:before="120" w:after="120" w:line="240" w:lineRule="auto"/>
              <w:jc w:val="both"/>
              <w:rPr>
                <w:rFonts w:ascii="Times New Roman" w:hAnsi="Times New Roman"/>
                <w:sz w:val="20"/>
                <w:szCs w:val="20"/>
              </w:rPr>
            </w:pPr>
            <w:r w:rsidRPr="005B4716">
              <w:rPr>
                <w:rFonts w:ascii="Times New Roman" w:hAnsi="Times New Roman"/>
                <w:sz w:val="20"/>
                <w:szCs w:val="20"/>
              </w:rPr>
              <w:lastRenderedPageBreak/>
              <w:t>3. Le opzioni di cui al paragrafo 1 si possono combinare unicamente se ciascuna opzione copre diverse categorie di costi, o se sono utilizzate per progetti diversi facenti parte di un'operazione o per fasi successive di un'operazione.</w:t>
            </w:r>
          </w:p>
        </w:tc>
        <w:tc>
          <w:tcPr>
            <w:tcW w:w="7694" w:type="dxa"/>
          </w:tcPr>
          <w:p w:rsidR="00FD5546" w:rsidRPr="005B4716" w:rsidRDefault="00FD5546" w:rsidP="00111E7A">
            <w:pPr>
              <w:autoSpaceDE w:val="0"/>
              <w:autoSpaceDN w:val="0"/>
              <w:adjustRightInd w:val="0"/>
              <w:spacing w:after="0" w:line="240" w:lineRule="auto"/>
              <w:jc w:val="both"/>
              <w:rPr>
                <w:rFonts w:ascii="Times New Roman" w:hAnsi="Times New Roman"/>
                <w:sz w:val="20"/>
                <w:szCs w:val="20"/>
              </w:rPr>
            </w:pPr>
            <w:r w:rsidRPr="005B4716">
              <w:rPr>
                <w:rFonts w:ascii="Times New Roman" w:hAnsi="Times New Roman"/>
                <w:sz w:val="20"/>
                <w:szCs w:val="20"/>
              </w:rPr>
              <w:t>Le opzioni di cui alla lettera b), punti i), ii) e iii), possono essere combinate unicamente se ciascuna di esse copre una diversa categoria di costi ammissibili o se sono utilizzate per diversi progetti relativi ad una stessa operazione.</w:t>
            </w:r>
          </w:p>
        </w:tc>
      </w:tr>
      <w:tr w:rsidR="00FD5546" w:rsidRPr="005B4716" w:rsidTr="00E56D7C">
        <w:tc>
          <w:tcPr>
            <w:tcW w:w="7699" w:type="dxa"/>
          </w:tcPr>
          <w:p w:rsidR="00FD5546" w:rsidRPr="005B4716" w:rsidRDefault="00FD5546" w:rsidP="00E56D7C">
            <w:pPr>
              <w:keepNext/>
              <w:spacing w:before="120" w:after="120" w:line="240" w:lineRule="auto"/>
              <w:jc w:val="both"/>
              <w:rPr>
                <w:rFonts w:ascii="Times New Roman" w:hAnsi="Times New Roman"/>
                <w:sz w:val="20"/>
                <w:szCs w:val="20"/>
              </w:rPr>
            </w:pPr>
            <w:r w:rsidRPr="005B4716">
              <w:rPr>
                <w:rFonts w:ascii="Times New Roman" w:hAnsi="Times New Roman"/>
                <w:sz w:val="20"/>
                <w:szCs w:val="20"/>
              </w:rPr>
              <w:t>4. Laddove un'operazione o un progetto facente parte di un'operazione sia attuato esclusivamente tramite appalti pubblici di opere, beni o servizi, si applica solo il paragrafo 1, primo comma, lettera a). Laddove l'appalto pubblico nell'ambito di un'operazione o di un progetto facente parte di un'operazione sia limitato a determinate categorie di costi, sono applicabili tutte le opzioni di cui al paragrafo 1.</w:t>
            </w:r>
          </w:p>
        </w:tc>
        <w:tc>
          <w:tcPr>
            <w:tcW w:w="7694" w:type="dxa"/>
          </w:tcPr>
          <w:p w:rsidR="00FD5546" w:rsidRPr="005B4716" w:rsidRDefault="00FD5546" w:rsidP="00E56D7C">
            <w:pPr>
              <w:spacing w:before="120" w:after="120" w:line="240" w:lineRule="auto"/>
              <w:jc w:val="both"/>
              <w:rPr>
                <w:rFonts w:ascii="Times New Roman" w:hAnsi="Times New Roman"/>
                <w:sz w:val="20"/>
                <w:szCs w:val="20"/>
              </w:rPr>
            </w:pPr>
          </w:p>
        </w:tc>
      </w:tr>
      <w:tr w:rsidR="00FD5546" w:rsidRPr="005B4716" w:rsidTr="00E56D7C">
        <w:tc>
          <w:tcPr>
            <w:tcW w:w="7699" w:type="dxa"/>
          </w:tcPr>
          <w:p w:rsidR="00FD5546" w:rsidRPr="005B4716" w:rsidRDefault="00FD5546" w:rsidP="00111E7A">
            <w:pPr>
              <w:keepNext/>
              <w:spacing w:before="120" w:after="120" w:line="240" w:lineRule="auto"/>
              <w:jc w:val="both"/>
              <w:rPr>
                <w:rFonts w:ascii="Times New Roman" w:hAnsi="Times New Roman"/>
                <w:b/>
                <w:i/>
                <w:sz w:val="20"/>
                <w:szCs w:val="20"/>
              </w:rPr>
            </w:pPr>
            <w:r w:rsidRPr="005B4716">
              <w:rPr>
                <w:rFonts w:ascii="Times New Roman" w:hAnsi="Times New Roman"/>
                <w:b/>
                <w:i/>
                <w:sz w:val="20"/>
                <w:szCs w:val="20"/>
              </w:rPr>
              <w:t>Articolo 68</w:t>
            </w:r>
          </w:p>
          <w:p w:rsidR="00FD5546" w:rsidRPr="005B4716" w:rsidRDefault="00FD5546" w:rsidP="00111E7A">
            <w:pPr>
              <w:keepNext/>
              <w:spacing w:before="120" w:after="120" w:line="240" w:lineRule="auto"/>
              <w:jc w:val="both"/>
              <w:rPr>
                <w:rFonts w:ascii="Times New Roman" w:hAnsi="Times New Roman"/>
                <w:sz w:val="20"/>
                <w:szCs w:val="20"/>
              </w:rPr>
            </w:pPr>
            <w:r w:rsidRPr="005B4716">
              <w:rPr>
                <w:rFonts w:ascii="Times New Roman" w:hAnsi="Times New Roman"/>
                <w:b/>
                <w:i/>
                <w:sz w:val="20"/>
                <w:szCs w:val="20"/>
              </w:rPr>
              <w:t>Finanziamento a tasso forfettario dei costi indiretti e dei costi per il personale in materia di sovvenzioni e all'assistenza rimborsabile</w:t>
            </w:r>
          </w:p>
        </w:tc>
        <w:tc>
          <w:tcPr>
            <w:tcW w:w="7694" w:type="dxa"/>
          </w:tcPr>
          <w:p w:rsidR="00FD5546" w:rsidRPr="005B4716" w:rsidRDefault="00FD5546" w:rsidP="00E56D7C">
            <w:pPr>
              <w:spacing w:before="120" w:after="120" w:line="240" w:lineRule="auto"/>
              <w:jc w:val="both"/>
              <w:rPr>
                <w:rFonts w:ascii="Times New Roman" w:hAnsi="Times New Roman"/>
                <w:sz w:val="20"/>
                <w:szCs w:val="20"/>
              </w:rPr>
            </w:pPr>
          </w:p>
        </w:tc>
      </w:tr>
      <w:tr w:rsidR="00FD5546" w:rsidRPr="005B4716" w:rsidTr="00E56D7C">
        <w:tc>
          <w:tcPr>
            <w:tcW w:w="7699" w:type="dxa"/>
          </w:tcPr>
          <w:p w:rsidR="00FD5546" w:rsidRDefault="00FD5546" w:rsidP="00111E7A">
            <w:pPr>
              <w:keepNext/>
              <w:spacing w:before="120" w:after="120" w:line="240" w:lineRule="auto"/>
              <w:jc w:val="both"/>
              <w:rPr>
                <w:rFonts w:ascii="Times New Roman" w:hAnsi="Times New Roman"/>
                <w:sz w:val="20"/>
                <w:szCs w:val="20"/>
              </w:rPr>
            </w:pPr>
            <w:r w:rsidRPr="005B4716">
              <w:rPr>
                <w:rFonts w:ascii="Times New Roman" w:hAnsi="Times New Roman"/>
                <w:sz w:val="20"/>
                <w:szCs w:val="20"/>
              </w:rPr>
              <w:t xml:space="preserve">1. Laddove l'esecuzione di un'operazione dia origine a costi indiretti, questi ultimi si possono calcolare forfettariamente in uno dei seguenti modi: </w:t>
            </w:r>
          </w:p>
          <w:p w:rsidR="00FD5546" w:rsidRPr="005B4716" w:rsidRDefault="00FD5546" w:rsidP="00111E7A">
            <w:pPr>
              <w:keepNext/>
              <w:spacing w:before="120" w:after="120" w:line="240" w:lineRule="auto"/>
              <w:jc w:val="both"/>
              <w:rPr>
                <w:rFonts w:ascii="Times New Roman" w:hAnsi="Times New Roman"/>
                <w:sz w:val="20"/>
                <w:szCs w:val="20"/>
              </w:rPr>
            </w:pPr>
            <w:r w:rsidRPr="005B4716">
              <w:rPr>
                <w:rFonts w:ascii="Times New Roman" w:hAnsi="Times New Roman"/>
                <w:sz w:val="20"/>
                <w:szCs w:val="20"/>
              </w:rPr>
              <w:t>a) un tasso forfettario fino al 25 % dei costi diretti ammissibili, a condizione che sia calcolato sulla base di un metodo giusto, equo e verificabile o di un metodo applicato nell'ambito di meccanismi di sovvenzione finanziati interamente dallo Stato membro per una tipologia analoga di operazione e beneficiario;</w:t>
            </w:r>
          </w:p>
          <w:p w:rsidR="00FD5546" w:rsidRPr="005B4716" w:rsidRDefault="00FD5546" w:rsidP="00111E7A">
            <w:pPr>
              <w:spacing w:before="120" w:after="120" w:line="240" w:lineRule="auto"/>
              <w:jc w:val="both"/>
              <w:rPr>
                <w:rFonts w:ascii="Times New Roman" w:hAnsi="Times New Roman"/>
                <w:sz w:val="20"/>
                <w:szCs w:val="20"/>
              </w:rPr>
            </w:pPr>
            <w:r w:rsidRPr="005B4716">
              <w:rPr>
                <w:rFonts w:ascii="Times New Roman" w:hAnsi="Times New Roman"/>
                <w:sz w:val="20"/>
                <w:szCs w:val="20"/>
              </w:rPr>
              <w:t>b) tasso forfettario fino al 15 % dei costi diretti ammissibili per il personale senza che vi sia un obbligo per lo Stato membro di eseguire un calcolo per determinare il tasso applicabile;</w:t>
            </w:r>
          </w:p>
          <w:p w:rsidR="00FD5546" w:rsidRPr="005B4716" w:rsidRDefault="00FD5546" w:rsidP="00111E7A">
            <w:pPr>
              <w:spacing w:before="120" w:after="120"/>
              <w:jc w:val="both"/>
              <w:rPr>
                <w:rFonts w:ascii="Times New Roman" w:hAnsi="Times New Roman"/>
                <w:sz w:val="20"/>
                <w:szCs w:val="20"/>
              </w:rPr>
            </w:pPr>
            <w:r w:rsidRPr="005B4716">
              <w:rPr>
                <w:rFonts w:ascii="Times New Roman" w:hAnsi="Times New Roman"/>
                <w:sz w:val="20"/>
                <w:szCs w:val="20"/>
              </w:rPr>
              <w:t>c) un tasso forfettario applicato ai costi diretti ammissibili basato su metodi esistenti e percentuali corrispondenti applicabili nelle politiche dell'Unione per una tipologia analoga di operazione e beneficiario.</w:t>
            </w:r>
          </w:p>
          <w:p w:rsidR="00FD5546" w:rsidRPr="005B4716" w:rsidRDefault="00FD5546" w:rsidP="00111E7A">
            <w:pPr>
              <w:keepNext/>
              <w:spacing w:before="120" w:after="120" w:line="240" w:lineRule="auto"/>
              <w:jc w:val="both"/>
              <w:rPr>
                <w:rFonts w:ascii="Times New Roman" w:hAnsi="Times New Roman"/>
                <w:sz w:val="20"/>
                <w:szCs w:val="20"/>
              </w:rPr>
            </w:pPr>
            <w:r w:rsidRPr="005B4716">
              <w:rPr>
                <w:rFonts w:ascii="Times New Roman" w:hAnsi="Times New Roman"/>
                <w:sz w:val="20"/>
                <w:szCs w:val="20"/>
              </w:rPr>
              <w:t>Alla Commissione è conferito il potere di adottare atti delegati conformemente all'articolo 149 riguardo alla definizione del tasso forfettario e dei relativi metodi di cui al primo comma, lettera c), del presente paragrafo.</w:t>
            </w:r>
          </w:p>
        </w:tc>
        <w:tc>
          <w:tcPr>
            <w:tcW w:w="7694" w:type="dxa"/>
          </w:tcPr>
          <w:p w:rsidR="00FD5546" w:rsidRPr="005B4716" w:rsidRDefault="00FD5546" w:rsidP="00E56D7C">
            <w:pPr>
              <w:spacing w:before="120" w:after="120" w:line="240" w:lineRule="auto"/>
              <w:jc w:val="both"/>
              <w:rPr>
                <w:rFonts w:ascii="Times New Roman" w:hAnsi="Times New Roman"/>
                <w:sz w:val="20"/>
                <w:szCs w:val="20"/>
              </w:rPr>
            </w:pPr>
          </w:p>
        </w:tc>
      </w:tr>
      <w:tr w:rsidR="00FD5546" w:rsidRPr="005B4716" w:rsidTr="00E56D7C">
        <w:tc>
          <w:tcPr>
            <w:tcW w:w="7699" w:type="dxa"/>
          </w:tcPr>
          <w:p w:rsidR="00FD5546" w:rsidRPr="005B4716" w:rsidRDefault="00FD5546" w:rsidP="004F46FD">
            <w:pPr>
              <w:spacing w:before="120" w:after="120" w:line="240" w:lineRule="auto"/>
              <w:jc w:val="both"/>
              <w:rPr>
                <w:rFonts w:ascii="Times New Roman" w:hAnsi="Times New Roman"/>
                <w:sz w:val="20"/>
                <w:szCs w:val="20"/>
              </w:rPr>
            </w:pPr>
            <w:r w:rsidRPr="005B4716">
              <w:rPr>
                <w:rFonts w:ascii="Times New Roman" w:hAnsi="Times New Roman"/>
                <w:sz w:val="20"/>
                <w:szCs w:val="20"/>
              </w:rPr>
              <w:t>2. Ai fini della determinazione dei costi per il personale connessi all'attuazione di un'operazione, la tariffa oraria applicabile può essere calcolata dividendo per 1 720 ore i più recenti costi annui lordi per l'impiego documentati.</w:t>
            </w:r>
          </w:p>
        </w:tc>
        <w:tc>
          <w:tcPr>
            <w:tcW w:w="7694" w:type="dxa"/>
          </w:tcPr>
          <w:p w:rsidR="00FD5546" w:rsidRPr="005B4716" w:rsidRDefault="00FD5546" w:rsidP="00E56D7C">
            <w:pPr>
              <w:spacing w:before="120" w:after="120" w:line="240" w:lineRule="auto"/>
              <w:jc w:val="both"/>
              <w:rPr>
                <w:rFonts w:ascii="Times New Roman" w:hAnsi="Times New Roman"/>
                <w:sz w:val="20"/>
                <w:szCs w:val="20"/>
              </w:rPr>
            </w:pPr>
          </w:p>
        </w:tc>
      </w:tr>
      <w:tr w:rsidR="00FD5546" w:rsidRPr="005B4716" w:rsidTr="00E56D7C">
        <w:tc>
          <w:tcPr>
            <w:tcW w:w="7699" w:type="dxa"/>
            <w:shd w:val="clear" w:color="auto" w:fill="BDD6EE"/>
          </w:tcPr>
          <w:p w:rsidR="00FD5546" w:rsidRPr="005B4716" w:rsidRDefault="00FD5546" w:rsidP="00E56D7C">
            <w:pPr>
              <w:spacing w:before="120" w:after="120" w:line="240" w:lineRule="auto"/>
              <w:jc w:val="center"/>
              <w:rPr>
                <w:rFonts w:ascii="Times New Roman" w:hAnsi="Times New Roman"/>
                <w:b/>
                <w:sz w:val="20"/>
                <w:szCs w:val="20"/>
              </w:rPr>
            </w:pPr>
            <w:r w:rsidRPr="005B4716">
              <w:rPr>
                <w:rFonts w:ascii="Times New Roman" w:hAnsi="Times New Roman"/>
                <w:b/>
                <w:sz w:val="20"/>
                <w:szCs w:val="20"/>
              </w:rPr>
              <w:t>NUOVO REGOLAMENTO FSE [2014-2020]</w:t>
            </w:r>
          </w:p>
          <w:p w:rsidR="00FD5546" w:rsidRPr="005B4716" w:rsidRDefault="00FD5546" w:rsidP="00E56D7C">
            <w:pPr>
              <w:spacing w:before="120" w:after="120" w:line="240" w:lineRule="auto"/>
              <w:jc w:val="center"/>
              <w:rPr>
                <w:rFonts w:ascii="Times New Roman" w:hAnsi="Times New Roman"/>
                <w:b/>
                <w:sz w:val="20"/>
                <w:szCs w:val="20"/>
              </w:rPr>
            </w:pPr>
            <w:r w:rsidRPr="005B4716">
              <w:rPr>
                <w:rFonts w:ascii="Times New Roman" w:hAnsi="Times New Roman"/>
                <w:b/>
                <w:sz w:val="20"/>
                <w:szCs w:val="20"/>
              </w:rPr>
              <w:t>Regolamento UE 1304/2013 del Parlamento e del Consiglio</w:t>
            </w:r>
          </w:p>
        </w:tc>
        <w:tc>
          <w:tcPr>
            <w:tcW w:w="7694" w:type="dxa"/>
            <w:shd w:val="clear" w:color="auto" w:fill="BDD6EE"/>
          </w:tcPr>
          <w:p w:rsidR="00FD5546" w:rsidRPr="005B4716" w:rsidRDefault="00FD5546" w:rsidP="00E56D7C">
            <w:pPr>
              <w:spacing w:before="120" w:after="120" w:line="240" w:lineRule="auto"/>
              <w:jc w:val="center"/>
              <w:rPr>
                <w:rFonts w:ascii="Times New Roman" w:hAnsi="Times New Roman"/>
                <w:b/>
                <w:sz w:val="20"/>
                <w:szCs w:val="20"/>
              </w:rPr>
            </w:pPr>
            <w:r w:rsidRPr="005B4716">
              <w:rPr>
                <w:rFonts w:ascii="Times New Roman" w:hAnsi="Times New Roman"/>
                <w:b/>
                <w:sz w:val="20"/>
                <w:szCs w:val="20"/>
              </w:rPr>
              <w:t>REGOLAMENTO FSE [2007-2013]</w:t>
            </w:r>
          </w:p>
          <w:p w:rsidR="00FD5546" w:rsidRPr="005B4716" w:rsidRDefault="00FD5546" w:rsidP="00E56D7C">
            <w:pPr>
              <w:spacing w:before="120" w:after="120" w:line="240" w:lineRule="auto"/>
              <w:jc w:val="center"/>
              <w:rPr>
                <w:rFonts w:ascii="Times New Roman" w:hAnsi="Times New Roman"/>
                <w:b/>
                <w:sz w:val="20"/>
                <w:szCs w:val="20"/>
              </w:rPr>
            </w:pPr>
            <w:r w:rsidRPr="005B4716">
              <w:rPr>
                <w:rFonts w:ascii="Times New Roman" w:hAnsi="Times New Roman"/>
                <w:b/>
                <w:sz w:val="20"/>
                <w:szCs w:val="20"/>
              </w:rPr>
              <w:t>Regolamento CE 1081/2006 del Consiglio</w:t>
            </w:r>
          </w:p>
        </w:tc>
      </w:tr>
      <w:tr w:rsidR="00FD5546" w:rsidRPr="005B4716" w:rsidTr="00E56D7C">
        <w:tc>
          <w:tcPr>
            <w:tcW w:w="7699" w:type="dxa"/>
          </w:tcPr>
          <w:p w:rsidR="00FD5546" w:rsidRPr="005B4716" w:rsidRDefault="00FD5546" w:rsidP="00E56D7C">
            <w:pPr>
              <w:spacing w:before="120" w:after="120" w:line="240" w:lineRule="auto"/>
              <w:jc w:val="center"/>
              <w:rPr>
                <w:rFonts w:ascii="Times New Roman" w:hAnsi="Times New Roman"/>
                <w:b/>
                <w:sz w:val="20"/>
                <w:szCs w:val="20"/>
              </w:rPr>
            </w:pPr>
            <w:r w:rsidRPr="005B4716">
              <w:rPr>
                <w:rFonts w:ascii="Times New Roman" w:hAnsi="Times New Roman"/>
                <w:b/>
                <w:sz w:val="20"/>
                <w:szCs w:val="20"/>
              </w:rPr>
              <w:t>Articolo 14</w:t>
            </w:r>
          </w:p>
          <w:p w:rsidR="00FD5546" w:rsidRPr="005B4716" w:rsidRDefault="00FD5546" w:rsidP="00E56D7C">
            <w:pPr>
              <w:spacing w:before="120" w:after="120" w:line="240" w:lineRule="auto"/>
              <w:jc w:val="center"/>
              <w:rPr>
                <w:rFonts w:ascii="Times New Roman" w:hAnsi="Times New Roman"/>
                <w:b/>
                <w:sz w:val="20"/>
                <w:szCs w:val="20"/>
              </w:rPr>
            </w:pPr>
            <w:r w:rsidRPr="005B4716">
              <w:rPr>
                <w:rFonts w:ascii="Times New Roman" w:hAnsi="Times New Roman"/>
                <w:b/>
                <w:sz w:val="20"/>
                <w:szCs w:val="20"/>
              </w:rPr>
              <w:t>Opzioni semplificate in materia di costi</w:t>
            </w:r>
          </w:p>
        </w:tc>
        <w:tc>
          <w:tcPr>
            <w:tcW w:w="7694" w:type="dxa"/>
          </w:tcPr>
          <w:p w:rsidR="00FD5546" w:rsidRPr="005B4716" w:rsidRDefault="00FD5546" w:rsidP="00E56D7C">
            <w:pPr>
              <w:spacing w:before="120" w:after="120" w:line="240" w:lineRule="auto"/>
              <w:jc w:val="center"/>
              <w:rPr>
                <w:rFonts w:ascii="Times New Roman" w:hAnsi="Times New Roman"/>
                <w:b/>
                <w:sz w:val="20"/>
                <w:szCs w:val="20"/>
              </w:rPr>
            </w:pPr>
          </w:p>
        </w:tc>
      </w:tr>
      <w:tr w:rsidR="00FD5546" w:rsidRPr="005B4716" w:rsidTr="00E56D7C">
        <w:tc>
          <w:tcPr>
            <w:tcW w:w="7699" w:type="dxa"/>
          </w:tcPr>
          <w:p w:rsidR="00FD5546" w:rsidRPr="005B4716" w:rsidRDefault="00FD5546" w:rsidP="00E56D7C">
            <w:pPr>
              <w:spacing w:before="120" w:after="120" w:line="240" w:lineRule="auto"/>
              <w:jc w:val="both"/>
              <w:rPr>
                <w:rFonts w:ascii="Times New Roman" w:hAnsi="Times New Roman"/>
                <w:sz w:val="20"/>
                <w:szCs w:val="20"/>
              </w:rPr>
            </w:pPr>
            <w:r w:rsidRPr="005B4716">
              <w:rPr>
                <w:rFonts w:ascii="Times New Roman" w:hAnsi="Times New Roman"/>
                <w:sz w:val="20"/>
                <w:szCs w:val="20"/>
              </w:rPr>
              <w:lastRenderedPageBreak/>
              <w:t xml:space="preserve">1. Oltre alle opzioni di cui all'articolo 67 del regolamento (UE) n. 1303/2013, </w:t>
            </w:r>
            <w:smartTag w:uri="urn:schemas-microsoft-com:office:smarttags" w:element="PersonName">
              <w:smartTagPr>
                <w:attr w:name="ProductID" w:val="la Commissione"/>
              </w:smartTagPr>
              <w:r w:rsidRPr="005B4716">
                <w:rPr>
                  <w:rFonts w:ascii="Times New Roman" w:hAnsi="Times New Roman"/>
                  <w:sz w:val="20"/>
                  <w:szCs w:val="20"/>
                </w:rPr>
                <w:t>la Commissione</w:t>
              </w:r>
            </w:smartTag>
            <w:r w:rsidRPr="005B4716">
              <w:rPr>
                <w:rFonts w:ascii="Times New Roman" w:hAnsi="Times New Roman"/>
                <w:sz w:val="20"/>
                <w:szCs w:val="20"/>
              </w:rPr>
              <w:t xml:space="preserve"> può rimborsare le spese sostenute dagli Stati membri sulla base di tabelle standard di costi unitari e importi forfettari stabiliti dalla Commissione. Gli importi calcolati su questa base sono considerati finanziamenti pubblici versati ai beneficiari e spese ammissibili ai fini dell'applicazione del regolamento (UE) n. 1303/2013.</w:t>
            </w:r>
          </w:p>
        </w:tc>
        <w:tc>
          <w:tcPr>
            <w:tcW w:w="7694" w:type="dxa"/>
          </w:tcPr>
          <w:p w:rsidR="00FD5546" w:rsidRPr="005B4716" w:rsidRDefault="00FD5546" w:rsidP="00E56D7C">
            <w:pPr>
              <w:spacing w:before="120" w:after="120" w:line="240" w:lineRule="auto"/>
              <w:jc w:val="center"/>
              <w:rPr>
                <w:rFonts w:ascii="Times New Roman" w:hAnsi="Times New Roman"/>
                <w:b/>
                <w:sz w:val="20"/>
                <w:szCs w:val="20"/>
              </w:rPr>
            </w:pPr>
          </w:p>
        </w:tc>
      </w:tr>
      <w:tr w:rsidR="00FD5546" w:rsidRPr="005B4716" w:rsidTr="00E56D7C">
        <w:tc>
          <w:tcPr>
            <w:tcW w:w="7699" w:type="dxa"/>
          </w:tcPr>
          <w:p w:rsidR="00FD5546" w:rsidRPr="005B4716" w:rsidRDefault="00FD5546" w:rsidP="00E56D7C">
            <w:pPr>
              <w:spacing w:before="120" w:after="120" w:line="240" w:lineRule="auto"/>
              <w:jc w:val="both"/>
              <w:rPr>
                <w:rFonts w:ascii="Times New Roman" w:hAnsi="Times New Roman"/>
                <w:sz w:val="20"/>
                <w:szCs w:val="20"/>
              </w:rPr>
            </w:pPr>
            <w:r w:rsidRPr="005B4716">
              <w:rPr>
                <w:rFonts w:ascii="Times New Roman" w:hAnsi="Times New Roman"/>
                <w:sz w:val="20"/>
                <w:szCs w:val="20"/>
              </w:rPr>
              <w:t>Ai fini di cui al primo comma, alla Commissione è conferito il potere di adottare atti delegati conformemente all'articolo 24 riguardo al tipo di operazioni interessato, alle definizioni delle tabelle standard di costi unitari, agli importi forfettari e ai loro massimali, che possono essere adeguati conformemente ai metodi applicabili comunemente utilizzati, tenendo in debito conto le esperienze già maturate nel corso del precedente periodo di programmazione.</w:t>
            </w:r>
          </w:p>
        </w:tc>
        <w:tc>
          <w:tcPr>
            <w:tcW w:w="7694" w:type="dxa"/>
          </w:tcPr>
          <w:p w:rsidR="00FD5546" w:rsidRPr="005B4716" w:rsidRDefault="00FD5546" w:rsidP="00E56D7C">
            <w:pPr>
              <w:spacing w:before="120" w:after="120" w:line="240" w:lineRule="auto"/>
              <w:jc w:val="center"/>
              <w:rPr>
                <w:rFonts w:ascii="Times New Roman" w:hAnsi="Times New Roman"/>
                <w:b/>
                <w:sz w:val="20"/>
                <w:szCs w:val="20"/>
              </w:rPr>
            </w:pPr>
          </w:p>
        </w:tc>
      </w:tr>
      <w:tr w:rsidR="00FD5546" w:rsidRPr="005B4716" w:rsidTr="00E56D7C">
        <w:tc>
          <w:tcPr>
            <w:tcW w:w="7699" w:type="dxa"/>
          </w:tcPr>
          <w:p w:rsidR="00FD5546" w:rsidRPr="005B4716" w:rsidRDefault="00FD5546" w:rsidP="00E56D7C">
            <w:pPr>
              <w:spacing w:before="120" w:after="120" w:line="240" w:lineRule="auto"/>
              <w:jc w:val="both"/>
              <w:rPr>
                <w:rFonts w:ascii="Times New Roman" w:hAnsi="Times New Roman"/>
                <w:sz w:val="20"/>
                <w:szCs w:val="20"/>
              </w:rPr>
            </w:pPr>
            <w:r w:rsidRPr="005B4716">
              <w:rPr>
                <w:rFonts w:ascii="Times New Roman" w:hAnsi="Times New Roman"/>
                <w:sz w:val="20"/>
                <w:szCs w:val="20"/>
              </w:rPr>
              <w:t>Gli audit finanziari sono volti esclusivamente a verificare che le condizioni per i rimborsi da parte della Commissione sulla base delle tabelle standard di costi unitari e per gli importi forfettari siano rispettate.</w:t>
            </w:r>
          </w:p>
        </w:tc>
        <w:tc>
          <w:tcPr>
            <w:tcW w:w="7694" w:type="dxa"/>
          </w:tcPr>
          <w:p w:rsidR="00FD5546" w:rsidRPr="005B4716" w:rsidRDefault="00FD5546" w:rsidP="00E56D7C">
            <w:pPr>
              <w:spacing w:before="120" w:after="120" w:line="240" w:lineRule="auto"/>
              <w:jc w:val="center"/>
              <w:rPr>
                <w:rFonts w:ascii="Times New Roman" w:hAnsi="Times New Roman"/>
                <w:b/>
                <w:sz w:val="20"/>
                <w:szCs w:val="20"/>
              </w:rPr>
            </w:pPr>
          </w:p>
        </w:tc>
      </w:tr>
      <w:tr w:rsidR="00FD5546" w:rsidRPr="005B4716" w:rsidTr="00E56D7C">
        <w:tc>
          <w:tcPr>
            <w:tcW w:w="7699" w:type="dxa"/>
          </w:tcPr>
          <w:p w:rsidR="00FD5546" w:rsidRPr="005B4716" w:rsidRDefault="00FD5546" w:rsidP="00E56D7C">
            <w:pPr>
              <w:spacing w:before="120" w:after="120" w:line="240" w:lineRule="auto"/>
              <w:jc w:val="both"/>
              <w:rPr>
                <w:rFonts w:ascii="Times New Roman" w:hAnsi="Times New Roman"/>
                <w:sz w:val="20"/>
                <w:szCs w:val="20"/>
              </w:rPr>
            </w:pPr>
            <w:r w:rsidRPr="005B4716">
              <w:rPr>
                <w:rFonts w:ascii="Times New Roman" w:hAnsi="Times New Roman"/>
                <w:sz w:val="20"/>
                <w:szCs w:val="20"/>
              </w:rPr>
              <w:t>Nei casi in cui siano utilizzati finanziamenti sulla base delle tabelle standard di costi unitari e degli importi forfettari conformemente al primo comma, lo Stato membro può applicare le proprie prassi contabili a sostegno delle operazioni. Ai fini del presente regolamento e del regolamento (UE) n. 1303/2013, tali prassi contabili e i relativi importi non sono soggetti ad audit da parte delle autorità di audit o da parte della Commissione.</w:t>
            </w:r>
          </w:p>
        </w:tc>
        <w:tc>
          <w:tcPr>
            <w:tcW w:w="7694" w:type="dxa"/>
          </w:tcPr>
          <w:p w:rsidR="00FD5546" w:rsidRPr="005B4716" w:rsidRDefault="00FD5546" w:rsidP="00E56D7C">
            <w:pPr>
              <w:spacing w:before="120" w:after="120" w:line="240" w:lineRule="auto"/>
              <w:jc w:val="center"/>
              <w:rPr>
                <w:rFonts w:ascii="Times New Roman" w:hAnsi="Times New Roman"/>
                <w:b/>
                <w:sz w:val="20"/>
                <w:szCs w:val="20"/>
              </w:rPr>
            </w:pPr>
          </w:p>
        </w:tc>
      </w:tr>
      <w:tr w:rsidR="00FD5546" w:rsidRPr="005B4716" w:rsidTr="00E56D7C">
        <w:tc>
          <w:tcPr>
            <w:tcW w:w="7699" w:type="dxa"/>
          </w:tcPr>
          <w:p w:rsidR="00FD5546" w:rsidRPr="005B4716" w:rsidRDefault="00FD5546" w:rsidP="00E56D7C">
            <w:pPr>
              <w:spacing w:before="120" w:after="120" w:line="240" w:lineRule="auto"/>
              <w:jc w:val="both"/>
              <w:rPr>
                <w:rFonts w:ascii="Times New Roman" w:hAnsi="Times New Roman"/>
                <w:sz w:val="20"/>
                <w:szCs w:val="20"/>
              </w:rPr>
            </w:pPr>
            <w:r w:rsidRPr="005B4716">
              <w:rPr>
                <w:rFonts w:ascii="Times New Roman" w:hAnsi="Times New Roman"/>
                <w:sz w:val="20"/>
                <w:szCs w:val="20"/>
              </w:rPr>
              <w:t>2. Conformemente all'articolo 67, paragrafo 1, lettera d), e paragrafo 5, lettera d), del regolamento (UE) n. 1303/2013, un tasso forfettario sino al 40 % delle spese dirette di personale ammissibili può essere utilizzato al fine di coprire i restanti costi ammissibili di un'operazione senza l'obbligo per lo Stato membro di eseguire calcoli per determinare il tasso applicabile.</w:t>
            </w:r>
          </w:p>
        </w:tc>
        <w:tc>
          <w:tcPr>
            <w:tcW w:w="7694" w:type="dxa"/>
          </w:tcPr>
          <w:p w:rsidR="00FD5546" w:rsidRPr="005B4716" w:rsidRDefault="00FD5546" w:rsidP="00E56D7C">
            <w:pPr>
              <w:spacing w:before="120" w:after="120" w:line="240" w:lineRule="auto"/>
              <w:jc w:val="center"/>
              <w:rPr>
                <w:rFonts w:ascii="Times New Roman" w:hAnsi="Times New Roman"/>
                <w:b/>
                <w:sz w:val="20"/>
                <w:szCs w:val="20"/>
              </w:rPr>
            </w:pPr>
          </w:p>
        </w:tc>
      </w:tr>
      <w:tr w:rsidR="00FD5546" w:rsidRPr="005B4716" w:rsidTr="00E56D7C">
        <w:tc>
          <w:tcPr>
            <w:tcW w:w="7699" w:type="dxa"/>
          </w:tcPr>
          <w:p w:rsidR="00FD5546" w:rsidRPr="005B4716" w:rsidRDefault="00FD5546" w:rsidP="00E56D7C">
            <w:pPr>
              <w:spacing w:before="120" w:after="120" w:line="240" w:lineRule="auto"/>
              <w:jc w:val="both"/>
              <w:rPr>
                <w:rFonts w:ascii="Times New Roman" w:hAnsi="Times New Roman"/>
                <w:sz w:val="20"/>
                <w:szCs w:val="20"/>
              </w:rPr>
            </w:pPr>
            <w:r w:rsidRPr="005B4716">
              <w:rPr>
                <w:rFonts w:ascii="Times New Roman" w:hAnsi="Times New Roman"/>
                <w:sz w:val="20"/>
                <w:szCs w:val="20"/>
              </w:rPr>
              <w:t>3. Oltre ai metodi stabiliti all'articolo 67, paragrafo 5, del regolamento (UE) n. 1303/2013, nei casi in cui il sostegno pubblico per le sovvenzioni e l'intervento rimborsabile non superi i 100 000 EUR, gli importi di cui all'articolo 67, paragrafo 1, lettere b), c) e d), del regolamento (UE) n. 1303/2013 possono essere stabiliti caso per caso facendo riferimento a un progetto di bilancio convenuto ex ante da parte dell'autorità di gestione.</w:t>
            </w:r>
          </w:p>
        </w:tc>
        <w:tc>
          <w:tcPr>
            <w:tcW w:w="7694" w:type="dxa"/>
          </w:tcPr>
          <w:p w:rsidR="00FD5546" w:rsidRPr="005B4716" w:rsidRDefault="00FD5546" w:rsidP="00E56D7C">
            <w:pPr>
              <w:spacing w:before="120" w:after="120" w:line="240" w:lineRule="auto"/>
              <w:jc w:val="center"/>
              <w:rPr>
                <w:rFonts w:ascii="Times New Roman" w:hAnsi="Times New Roman"/>
                <w:b/>
                <w:sz w:val="20"/>
                <w:szCs w:val="20"/>
              </w:rPr>
            </w:pPr>
          </w:p>
        </w:tc>
      </w:tr>
      <w:tr w:rsidR="00FD5546" w:rsidRPr="005B4716" w:rsidTr="00E56D7C">
        <w:tc>
          <w:tcPr>
            <w:tcW w:w="7699" w:type="dxa"/>
          </w:tcPr>
          <w:p w:rsidR="00FD5546" w:rsidRPr="005B4716" w:rsidRDefault="00FD5546" w:rsidP="00E56D7C">
            <w:pPr>
              <w:spacing w:before="120" w:after="120" w:line="240" w:lineRule="auto"/>
              <w:jc w:val="both"/>
              <w:rPr>
                <w:rFonts w:ascii="Times New Roman" w:hAnsi="Times New Roman"/>
                <w:sz w:val="20"/>
                <w:szCs w:val="20"/>
              </w:rPr>
            </w:pPr>
            <w:r w:rsidRPr="005B4716">
              <w:rPr>
                <w:rFonts w:ascii="Times New Roman" w:hAnsi="Times New Roman"/>
                <w:sz w:val="20"/>
                <w:szCs w:val="20"/>
              </w:rPr>
              <w:t>4. Fatto salvo l'articolo 67, paragrafo 4, del regolamento (UE) n. 1303/2013, le sovvenzioni e l'intervento rimborsabile per le quali il sostegno pubblico non supera i 50 000 EUR prendono la forma di tabelle standard di costi unitari o di importi forfettari, conformemente al paragrafo 1 del presente articolo o all'articolo 67 del regolamento (UE) n. 1303/2013 o di tassi forfettari conformemente all'articolo 67 del regolamento (UE) n. 1303/2013, eccettuate le operazioni che ricevono un sostegno nell'ambito di un sistema di aiuti di stato. In caso di finanziamento a tasso forfettario, le categorie di costi utilizzate per calcolare il tasso possono essere rimborsate conformemente all'articolo 67, paragrafo 1, lettera a), del regolamento (UE) n. 1303/2013.</w:t>
            </w:r>
          </w:p>
        </w:tc>
        <w:tc>
          <w:tcPr>
            <w:tcW w:w="7694" w:type="dxa"/>
          </w:tcPr>
          <w:p w:rsidR="00FD5546" w:rsidRPr="005B4716" w:rsidRDefault="00FD5546" w:rsidP="00E56D7C">
            <w:pPr>
              <w:spacing w:before="120" w:after="120" w:line="240" w:lineRule="auto"/>
              <w:jc w:val="center"/>
              <w:rPr>
                <w:rFonts w:ascii="Times New Roman" w:hAnsi="Times New Roman"/>
                <w:b/>
                <w:sz w:val="20"/>
                <w:szCs w:val="20"/>
              </w:rPr>
            </w:pPr>
          </w:p>
        </w:tc>
      </w:tr>
    </w:tbl>
    <w:p w:rsidR="00FD5546" w:rsidRDefault="00FD5546" w:rsidP="00C66ACF">
      <w:pPr>
        <w:spacing w:before="120" w:after="120"/>
        <w:rPr>
          <w:rFonts w:ascii="Times New Roman" w:hAnsi="Times New Roman"/>
        </w:rPr>
        <w:sectPr w:rsidR="00FD5546" w:rsidSect="00E32DB4">
          <w:footerReference w:type="even" r:id="rId7"/>
          <w:footerReference w:type="default" r:id="rId8"/>
          <w:pgSz w:w="16838" w:h="11906" w:orient="landscape"/>
          <w:pgMar w:top="567" w:right="567" w:bottom="567" w:left="567" w:header="709" w:footer="709" w:gutter="0"/>
          <w:cols w:space="708"/>
          <w:docGrid w:linePitch="360"/>
        </w:sectPr>
      </w:pPr>
    </w:p>
    <w:p w:rsidR="00FD5546" w:rsidRPr="00052FF5" w:rsidRDefault="00FD5546" w:rsidP="00B33F27">
      <w:pPr>
        <w:spacing w:after="0"/>
        <w:jc w:val="center"/>
        <w:rPr>
          <w:rFonts w:ascii="Times New Roman" w:hAnsi="Times New Roman"/>
          <w:b/>
          <w:sz w:val="24"/>
          <w:szCs w:val="24"/>
        </w:rPr>
      </w:pPr>
    </w:p>
    <w:p w:rsidR="00FD5546" w:rsidRDefault="00FD5546" w:rsidP="00B33F27">
      <w:pPr>
        <w:spacing w:after="0"/>
        <w:jc w:val="center"/>
        <w:rPr>
          <w:rFonts w:ascii="Times New Roman" w:hAnsi="Times New Roman"/>
          <w:b/>
          <w:sz w:val="24"/>
          <w:szCs w:val="24"/>
        </w:rPr>
      </w:pPr>
      <w:r w:rsidRPr="00052FF5">
        <w:rPr>
          <w:rFonts w:ascii="Times New Roman" w:hAnsi="Times New Roman"/>
          <w:b/>
          <w:sz w:val="24"/>
          <w:szCs w:val="24"/>
        </w:rPr>
        <w:t>PRIME RIFLESSIONI</w:t>
      </w:r>
    </w:p>
    <w:p w:rsidR="00FD5546" w:rsidRPr="00052FF5" w:rsidRDefault="00FD5546" w:rsidP="00B33F27">
      <w:pPr>
        <w:spacing w:after="0"/>
        <w:jc w:val="center"/>
        <w:rPr>
          <w:rFonts w:ascii="Times New Roman" w:hAnsi="Times New Roman"/>
          <w:b/>
          <w:sz w:val="24"/>
          <w:szCs w:val="24"/>
        </w:rPr>
      </w:pPr>
    </w:p>
    <w:p w:rsidR="00FD5546" w:rsidRPr="002B2DCF" w:rsidRDefault="00FD5546" w:rsidP="00B33F27">
      <w:pPr>
        <w:spacing w:after="0"/>
        <w:jc w:val="center"/>
        <w:rPr>
          <w:rFonts w:ascii="Times New Roman" w:hAnsi="Times New Roman"/>
          <w:b/>
          <w:sz w:val="24"/>
          <w:szCs w:val="24"/>
        </w:rPr>
      </w:pPr>
      <w:r w:rsidRPr="002B2DCF">
        <w:rPr>
          <w:rFonts w:ascii="Times New Roman" w:hAnsi="Times New Roman"/>
          <w:b/>
          <w:sz w:val="24"/>
          <w:szCs w:val="24"/>
        </w:rPr>
        <w:t>Semplificazione dei costi</w:t>
      </w:r>
    </w:p>
    <w:p w:rsidR="00FD5546" w:rsidRDefault="00FD5546" w:rsidP="00B33F27">
      <w:pPr>
        <w:spacing w:after="0"/>
        <w:jc w:val="center"/>
        <w:rPr>
          <w:rFonts w:ascii="Times New Roman" w:hAnsi="Times New Roman"/>
          <w:i/>
          <w:sz w:val="24"/>
          <w:szCs w:val="24"/>
        </w:rPr>
      </w:pPr>
      <w:r>
        <w:rPr>
          <w:rFonts w:ascii="Times New Roman" w:hAnsi="Times New Roman"/>
          <w:i/>
          <w:sz w:val="24"/>
          <w:szCs w:val="24"/>
        </w:rPr>
        <w:t>(</w:t>
      </w:r>
      <w:r w:rsidRPr="00FF5EBE">
        <w:rPr>
          <w:rFonts w:ascii="Times New Roman" w:hAnsi="Times New Roman"/>
          <w:i/>
          <w:sz w:val="24"/>
          <w:szCs w:val="24"/>
        </w:rPr>
        <w:t xml:space="preserve">Articoli 66, 67, 68 </w:t>
      </w:r>
      <w:r>
        <w:rPr>
          <w:rFonts w:ascii="Times New Roman" w:hAnsi="Times New Roman"/>
          <w:i/>
          <w:sz w:val="24"/>
          <w:szCs w:val="24"/>
        </w:rPr>
        <w:t xml:space="preserve">del </w:t>
      </w:r>
      <w:r w:rsidRPr="00FF5EBE">
        <w:rPr>
          <w:rFonts w:ascii="Times New Roman" w:hAnsi="Times New Roman"/>
          <w:i/>
          <w:sz w:val="24"/>
          <w:szCs w:val="24"/>
        </w:rPr>
        <w:t>Regolamento Disposizioni Comuni e articolo 14 del Regolamento FSE</w:t>
      </w:r>
      <w:r>
        <w:rPr>
          <w:rFonts w:ascii="Times New Roman" w:hAnsi="Times New Roman"/>
          <w:i/>
          <w:sz w:val="24"/>
          <w:szCs w:val="24"/>
        </w:rPr>
        <w:t>)</w:t>
      </w:r>
    </w:p>
    <w:p w:rsidR="00FD5546" w:rsidRPr="00FF5EBE" w:rsidRDefault="00FD5546" w:rsidP="00B33F27">
      <w:pPr>
        <w:spacing w:after="0"/>
        <w:jc w:val="center"/>
        <w:rPr>
          <w:rFonts w:ascii="Times New Roman" w:hAnsi="Times New Roman"/>
          <w:i/>
          <w:sz w:val="24"/>
          <w:szCs w:val="24"/>
        </w:rPr>
      </w:pPr>
    </w:p>
    <w:p w:rsidR="00FD5546" w:rsidRDefault="00FD5546" w:rsidP="00B33F27">
      <w:pPr>
        <w:spacing w:after="0" w:line="240" w:lineRule="auto"/>
        <w:jc w:val="both"/>
        <w:rPr>
          <w:rFonts w:ascii="Times New Roman" w:hAnsi="Times New Roman"/>
          <w:sz w:val="24"/>
          <w:szCs w:val="24"/>
        </w:rPr>
      </w:pPr>
      <w:r>
        <w:rPr>
          <w:rFonts w:ascii="Times New Roman" w:hAnsi="Times New Roman"/>
          <w:sz w:val="24"/>
          <w:szCs w:val="24"/>
        </w:rPr>
        <w:t>Nell’ambito delle disposizioni comunitarie sull’ammissibilità della spesa</w:t>
      </w:r>
      <w:r w:rsidRPr="00034483">
        <w:rPr>
          <w:rFonts w:ascii="Times New Roman" w:hAnsi="Times New Roman"/>
          <w:sz w:val="24"/>
          <w:szCs w:val="24"/>
        </w:rPr>
        <w:t xml:space="preserve"> </w:t>
      </w:r>
      <w:r>
        <w:rPr>
          <w:rFonts w:ascii="Times New Roman" w:hAnsi="Times New Roman"/>
          <w:sz w:val="24"/>
          <w:szCs w:val="24"/>
        </w:rPr>
        <w:t xml:space="preserve">della programmazione 2014-2020, particolare attenzione è stata dedicata agli articoli relativi alla semplificazione dei costi. </w:t>
      </w:r>
    </w:p>
    <w:p w:rsidR="00FD5546" w:rsidRPr="003F458C" w:rsidRDefault="00FD5546" w:rsidP="00D2339D">
      <w:pPr>
        <w:spacing w:after="0" w:line="240" w:lineRule="auto"/>
        <w:jc w:val="both"/>
        <w:rPr>
          <w:rFonts w:ascii="Times New Roman" w:hAnsi="Times New Roman"/>
          <w:sz w:val="20"/>
          <w:szCs w:val="24"/>
        </w:rPr>
      </w:pPr>
    </w:p>
    <w:p w:rsidR="00FD5546" w:rsidRDefault="00FD5546" w:rsidP="00D2339D">
      <w:pPr>
        <w:spacing w:after="0" w:line="240" w:lineRule="auto"/>
        <w:jc w:val="both"/>
        <w:rPr>
          <w:rFonts w:ascii="Times New Roman" w:hAnsi="Times New Roman"/>
          <w:sz w:val="24"/>
          <w:szCs w:val="24"/>
        </w:rPr>
      </w:pPr>
      <w:r>
        <w:rPr>
          <w:rFonts w:ascii="Times New Roman" w:hAnsi="Times New Roman"/>
          <w:sz w:val="24"/>
          <w:szCs w:val="24"/>
        </w:rPr>
        <w:t>In linea generale, i contenuti di tali articoli non trova</w:t>
      </w:r>
      <w:r w:rsidR="0021274C">
        <w:rPr>
          <w:rFonts w:ascii="Times New Roman" w:hAnsi="Times New Roman"/>
          <w:sz w:val="24"/>
          <w:szCs w:val="24"/>
        </w:rPr>
        <w:t>n</w:t>
      </w:r>
      <w:r>
        <w:rPr>
          <w:rFonts w:ascii="Times New Roman" w:hAnsi="Times New Roman"/>
          <w:sz w:val="24"/>
          <w:szCs w:val="24"/>
        </w:rPr>
        <w:t>o analoga trattazione nei regolamenti dei FS 2007-2013; appare, infatti, evidente l’intento del legislatore comunitario, da un lato, di affermare il principio di semplificazione nella gestione degli interventi comunitari, offrendo strumenti di gestione anche essi orientati ai risultati coerentemente con la nuova politica di coesione, e dall’altro lato di dare maggiore certezza del diritto disciplinando nei regolamenti comunitari le modalità di riconoscimento dei costi in maniera semplificata.</w:t>
      </w:r>
    </w:p>
    <w:p w:rsidR="00FD5546" w:rsidRPr="003F458C" w:rsidRDefault="00FD5546" w:rsidP="00D2339D">
      <w:pPr>
        <w:spacing w:after="0" w:line="240" w:lineRule="auto"/>
        <w:jc w:val="both"/>
        <w:rPr>
          <w:rFonts w:ascii="Times New Roman" w:hAnsi="Times New Roman"/>
          <w:sz w:val="20"/>
          <w:szCs w:val="24"/>
        </w:rPr>
      </w:pPr>
    </w:p>
    <w:p w:rsidR="00FD5546" w:rsidRDefault="00FD5546" w:rsidP="00D2339D">
      <w:pPr>
        <w:spacing w:after="0" w:line="240" w:lineRule="auto"/>
        <w:jc w:val="both"/>
        <w:rPr>
          <w:rFonts w:ascii="Times New Roman" w:hAnsi="Times New Roman"/>
          <w:sz w:val="24"/>
          <w:szCs w:val="24"/>
        </w:rPr>
      </w:pPr>
      <w:r>
        <w:rPr>
          <w:rFonts w:ascii="Times New Roman" w:hAnsi="Times New Roman"/>
          <w:sz w:val="24"/>
          <w:szCs w:val="24"/>
        </w:rPr>
        <w:t xml:space="preserve">Per la prima volta, accanto all’articolo generale sull’ammissibilità della spesa che enuncia il principio generale di sussidiarietà, nel RDC è presente un articolo sulle possibili </w:t>
      </w:r>
      <w:r w:rsidRPr="00D2339D">
        <w:rPr>
          <w:rFonts w:ascii="Times New Roman" w:hAnsi="Times New Roman"/>
          <w:sz w:val="24"/>
          <w:szCs w:val="24"/>
          <w:u w:val="single"/>
        </w:rPr>
        <w:t>Forme di sostegno</w:t>
      </w:r>
      <w:r>
        <w:rPr>
          <w:rFonts w:ascii="Times New Roman" w:hAnsi="Times New Roman"/>
          <w:sz w:val="24"/>
          <w:szCs w:val="24"/>
        </w:rPr>
        <w:t xml:space="preserve"> che i fondi SIE possono dare alle operazioni. In particolare, l’art. 66, applicabile a tutti i fondi SIE, prevede che il sostegno avvenga </w:t>
      </w:r>
      <w:r w:rsidRPr="00BA5A85">
        <w:rPr>
          <w:rFonts w:ascii="Times New Roman" w:hAnsi="Times New Roman"/>
          <w:sz w:val="24"/>
          <w:szCs w:val="24"/>
        </w:rPr>
        <w:t>sotto</w:t>
      </w:r>
      <w:r w:rsidRPr="00A70DD6">
        <w:rPr>
          <w:rFonts w:ascii="Times New Roman" w:hAnsi="Times New Roman"/>
          <w:i/>
          <w:sz w:val="24"/>
          <w:szCs w:val="24"/>
        </w:rPr>
        <w:t xml:space="preserve"> </w:t>
      </w:r>
      <w:r w:rsidRPr="00BA5A85">
        <w:rPr>
          <w:rFonts w:ascii="Times New Roman" w:hAnsi="Times New Roman"/>
          <w:sz w:val="24"/>
          <w:szCs w:val="24"/>
        </w:rPr>
        <w:t>forma di</w:t>
      </w:r>
      <w:r w:rsidRPr="00A70DD6">
        <w:rPr>
          <w:rFonts w:ascii="Times New Roman" w:hAnsi="Times New Roman"/>
          <w:i/>
          <w:sz w:val="24"/>
          <w:szCs w:val="24"/>
        </w:rPr>
        <w:t xml:space="preserve"> </w:t>
      </w:r>
      <w:r w:rsidRPr="00BA5A85">
        <w:rPr>
          <w:rFonts w:ascii="Times New Roman" w:hAnsi="Times New Roman"/>
          <w:i/>
          <w:sz w:val="24"/>
          <w:szCs w:val="24"/>
          <w:u w:val="single"/>
        </w:rPr>
        <w:t>sovvenzioni, premi, assistenza rimborsabile e strumenti finanziari o una combinazione degli stessi</w:t>
      </w:r>
      <w:r w:rsidRPr="00A70DD6">
        <w:rPr>
          <w:rFonts w:ascii="Times New Roman" w:hAnsi="Times New Roman"/>
          <w:i/>
          <w:sz w:val="24"/>
          <w:szCs w:val="24"/>
        </w:rPr>
        <w:t>.</w:t>
      </w:r>
    </w:p>
    <w:p w:rsidR="00FD5546" w:rsidRDefault="00FD5546" w:rsidP="00D2339D">
      <w:pPr>
        <w:spacing w:after="0"/>
        <w:jc w:val="both"/>
        <w:rPr>
          <w:rFonts w:ascii="Times New Roman" w:hAnsi="Times New Roman"/>
          <w:sz w:val="24"/>
          <w:szCs w:val="24"/>
        </w:rPr>
      </w:pPr>
      <w:r>
        <w:rPr>
          <w:rFonts w:ascii="Times New Roman" w:hAnsi="Times New Roman"/>
          <w:sz w:val="24"/>
          <w:szCs w:val="24"/>
        </w:rPr>
        <w:t xml:space="preserve">Sebbene non vi sia analogo articolo nei regolamenti comunitari 2007-2013, come si ricorderà, all’art. 11 c. 1 del Reg. FSE venivano esplicitate le </w:t>
      </w:r>
      <w:r w:rsidRPr="00BA5A85">
        <w:rPr>
          <w:rFonts w:ascii="Times New Roman" w:hAnsi="Times New Roman"/>
          <w:sz w:val="24"/>
          <w:szCs w:val="24"/>
        </w:rPr>
        <w:t>possibili forme di assistenza, ovvero sovvenzioni individuali o globali non rimborsabili, sovvenzioni</w:t>
      </w:r>
      <w:r>
        <w:rPr>
          <w:rFonts w:ascii="Times New Roman" w:hAnsi="Times New Roman"/>
          <w:sz w:val="24"/>
          <w:szCs w:val="24"/>
        </w:rPr>
        <w:t xml:space="preserve"> rimborsabili, abbuoni di interessi sui prestiti, </w:t>
      </w:r>
      <w:proofErr w:type="spellStart"/>
      <w:r>
        <w:rPr>
          <w:rFonts w:ascii="Times New Roman" w:hAnsi="Times New Roman"/>
          <w:sz w:val="24"/>
          <w:szCs w:val="24"/>
        </w:rPr>
        <w:t>microcrediti</w:t>
      </w:r>
      <w:proofErr w:type="spellEnd"/>
      <w:r>
        <w:rPr>
          <w:rFonts w:ascii="Times New Roman" w:hAnsi="Times New Roman"/>
          <w:sz w:val="24"/>
          <w:szCs w:val="24"/>
        </w:rPr>
        <w:t xml:space="preserve">, fondi di garanzia e acquisizione di beni e servizi conformemente alle norme in materia di appalti pubblici. </w:t>
      </w:r>
    </w:p>
    <w:p w:rsidR="00FD5546" w:rsidRDefault="00FD5546" w:rsidP="00D2339D">
      <w:pPr>
        <w:spacing w:after="0"/>
        <w:jc w:val="both"/>
        <w:rPr>
          <w:rFonts w:ascii="Times New Roman" w:hAnsi="Times New Roman"/>
          <w:sz w:val="24"/>
          <w:szCs w:val="24"/>
        </w:rPr>
      </w:pPr>
      <w:r>
        <w:rPr>
          <w:rFonts w:ascii="Times New Roman" w:hAnsi="Times New Roman"/>
          <w:sz w:val="24"/>
          <w:szCs w:val="24"/>
        </w:rPr>
        <w:t xml:space="preserve">Dal confronto tra i due articoli, emerge innanzitutto che vi è assoluta continuità nell’utilizzo del termine </w:t>
      </w:r>
      <w:r w:rsidRPr="003F458C">
        <w:rPr>
          <w:rFonts w:ascii="Times New Roman" w:hAnsi="Times New Roman"/>
          <w:sz w:val="24"/>
          <w:szCs w:val="24"/>
        </w:rPr>
        <w:t>sovvenzioni</w:t>
      </w:r>
      <w:r w:rsidRPr="007C238D">
        <w:rPr>
          <w:rFonts w:ascii="Times New Roman" w:hAnsi="Times New Roman"/>
          <w:sz w:val="24"/>
          <w:szCs w:val="24"/>
        </w:rPr>
        <w:t>, a</w:t>
      </w:r>
      <w:r w:rsidRPr="003F458C">
        <w:rPr>
          <w:rFonts w:ascii="Times New Roman" w:hAnsi="Times New Roman"/>
          <w:sz w:val="24"/>
          <w:szCs w:val="24"/>
        </w:rPr>
        <w:t xml:space="preserve"> </w:t>
      </w:r>
      <w:r w:rsidRPr="007C238D">
        <w:rPr>
          <w:rFonts w:ascii="Times New Roman" w:hAnsi="Times New Roman"/>
          <w:sz w:val="24"/>
          <w:szCs w:val="24"/>
        </w:rPr>
        <w:t>prescindere che siano individuali o globali,</w:t>
      </w:r>
      <w:r>
        <w:rPr>
          <w:rFonts w:ascii="Times New Roman" w:hAnsi="Times New Roman"/>
          <w:sz w:val="24"/>
          <w:szCs w:val="24"/>
        </w:rPr>
        <w:t xml:space="preserve"> non rimborsabili</w:t>
      </w:r>
      <w:r w:rsidRPr="007C238D">
        <w:rPr>
          <w:rFonts w:ascii="Times New Roman" w:hAnsi="Times New Roman"/>
          <w:sz w:val="24"/>
          <w:szCs w:val="24"/>
        </w:rPr>
        <w:t xml:space="preserve"> </w:t>
      </w:r>
      <w:r>
        <w:rPr>
          <w:rFonts w:ascii="Times New Roman" w:hAnsi="Times New Roman"/>
          <w:sz w:val="24"/>
          <w:szCs w:val="24"/>
        </w:rPr>
        <w:t>o rimborsabili</w:t>
      </w:r>
      <w:r w:rsidRPr="005428E8">
        <w:rPr>
          <w:rFonts w:ascii="Times New Roman" w:hAnsi="Times New Roman"/>
          <w:sz w:val="24"/>
          <w:szCs w:val="24"/>
        </w:rPr>
        <w:t xml:space="preserve"> </w:t>
      </w:r>
      <w:r>
        <w:rPr>
          <w:rFonts w:ascii="Times New Roman" w:hAnsi="Times New Roman"/>
          <w:sz w:val="24"/>
          <w:szCs w:val="24"/>
        </w:rPr>
        <w:t xml:space="preserve">(assistenza rimborsabile). In quest’ultimo caso, il regolamento precisa che il sostegno rimborsato deve essere registrato in un conto separato oppure con codici contabili distinti e reimpiegato allo stesso scopo on in linea con gli obiettivi del programma. Non si rilevano, poi, differenze nel termine </w:t>
      </w:r>
      <w:r w:rsidRPr="003F458C">
        <w:rPr>
          <w:rFonts w:ascii="Times New Roman" w:hAnsi="Times New Roman"/>
          <w:sz w:val="24"/>
          <w:szCs w:val="24"/>
        </w:rPr>
        <w:t>strumenti finanziari</w:t>
      </w:r>
      <w:r>
        <w:rPr>
          <w:rFonts w:ascii="Times New Roman" w:hAnsi="Times New Roman"/>
          <w:sz w:val="24"/>
          <w:szCs w:val="24"/>
        </w:rPr>
        <w:t xml:space="preserve"> poiché tra questi possono rientrare sia gli abbuoni di interessi sui prestiti, che i </w:t>
      </w:r>
      <w:proofErr w:type="spellStart"/>
      <w:r>
        <w:rPr>
          <w:rFonts w:ascii="Times New Roman" w:hAnsi="Times New Roman"/>
          <w:sz w:val="24"/>
          <w:szCs w:val="24"/>
        </w:rPr>
        <w:t>microcrediti</w:t>
      </w:r>
      <w:proofErr w:type="spellEnd"/>
      <w:r>
        <w:rPr>
          <w:rFonts w:ascii="Times New Roman" w:hAnsi="Times New Roman"/>
          <w:sz w:val="24"/>
          <w:szCs w:val="24"/>
        </w:rPr>
        <w:t xml:space="preserve"> ed i fondi di garanzia. </w:t>
      </w:r>
    </w:p>
    <w:p w:rsidR="00FD5546" w:rsidRDefault="00FD5546" w:rsidP="00D2339D">
      <w:pPr>
        <w:spacing w:after="0"/>
        <w:jc w:val="both"/>
        <w:rPr>
          <w:rFonts w:ascii="Times New Roman" w:hAnsi="Times New Roman"/>
          <w:sz w:val="24"/>
          <w:szCs w:val="24"/>
        </w:rPr>
      </w:pPr>
      <w:r>
        <w:rPr>
          <w:rFonts w:ascii="Times New Roman" w:hAnsi="Times New Roman"/>
          <w:sz w:val="24"/>
          <w:szCs w:val="24"/>
        </w:rPr>
        <w:t xml:space="preserve">Elementi di novità riguardano, invece, l’utilizzo del termine </w:t>
      </w:r>
      <w:r w:rsidRPr="003F458C">
        <w:rPr>
          <w:rFonts w:ascii="Times New Roman" w:hAnsi="Times New Roman"/>
          <w:sz w:val="24"/>
          <w:szCs w:val="24"/>
        </w:rPr>
        <w:t>premi</w:t>
      </w:r>
      <w:r>
        <w:rPr>
          <w:rFonts w:ascii="Times New Roman" w:hAnsi="Times New Roman"/>
          <w:sz w:val="24"/>
          <w:szCs w:val="24"/>
        </w:rPr>
        <w:t xml:space="preserve"> e il venir meno, tra </w:t>
      </w:r>
      <w:r w:rsidRPr="007C238D">
        <w:rPr>
          <w:rFonts w:ascii="Times New Roman" w:hAnsi="Times New Roman"/>
          <w:sz w:val="24"/>
          <w:szCs w:val="24"/>
        </w:rPr>
        <w:t>le forme</w:t>
      </w:r>
      <w:r>
        <w:rPr>
          <w:rFonts w:ascii="Times New Roman" w:hAnsi="Times New Roman"/>
          <w:sz w:val="24"/>
          <w:szCs w:val="24"/>
        </w:rPr>
        <w:t xml:space="preserve"> di sostegno, </w:t>
      </w:r>
      <w:r w:rsidRPr="007C238D">
        <w:rPr>
          <w:rFonts w:ascii="Times New Roman" w:hAnsi="Times New Roman"/>
          <w:sz w:val="24"/>
          <w:szCs w:val="24"/>
        </w:rPr>
        <w:t>dell’acquisizione di beni e servizi</w:t>
      </w:r>
      <w:r>
        <w:rPr>
          <w:rFonts w:ascii="Times New Roman" w:hAnsi="Times New Roman"/>
          <w:sz w:val="24"/>
          <w:szCs w:val="24"/>
        </w:rPr>
        <w:t xml:space="preserve"> conformemente alle norme in materia di appalti pubblici</w:t>
      </w:r>
      <w:r w:rsidRPr="003F458C">
        <w:footnoteReference w:id="1"/>
      </w:r>
      <w:r>
        <w:rPr>
          <w:rFonts w:ascii="Times New Roman" w:hAnsi="Times New Roman"/>
          <w:sz w:val="24"/>
          <w:szCs w:val="24"/>
        </w:rPr>
        <w:t>.</w:t>
      </w:r>
    </w:p>
    <w:p w:rsidR="00FD5546" w:rsidRPr="003F458C" w:rsidRDefault="00FD5546" w:rsidP="00D2339D">
      <w:pPr>
        <w:spacing w:after="0"/>
        <w:jc w:val="both"/>
        <w:rPr>
          <w:rFonts w:ascii="Times New Roman" w:hAnsi="Times New Roman"/>
          <w:sz w:val="20"/>
          <w:szCs w:val="24"/>
        </w:rPr>
      </w:pPr>
    </w:p>
    <w:p w:rsidR="00FD5546" w:rsidRDefault="00FD5546" w:rsidP="00D2339D">
      <w:pPr>
        <w:spacing w:after="0"/>
        <w:jc w:val="both"/>
        <w:rPr>
          <w:rFonts w:ascii="Times New Roman" w:hAnsi="Times New Roman"/>
          <w:sz w:val="24"/>
          <w:szCs w:val="24"/>
        </w:rPr>
      </w:pPr>
      <w:r>
        <w:rPr>
          <w:rFonts w:ascii="Times New Roman" w:hAnsi="Times New Roman"/>
          <w:sz w:val="24"/>
          <w:szCs w:val="24"/>
        </w:rPr>
        <w:t xml:space="preserve">L’identificazione delle forme di sostegno, ed in particolare delle sovvenzioni e dell’assistenza rimborsabile, è importante poiché solo per queste sono possibili forme semplificate di gestione finanziaria. </w:t>
      </w:r>
    </w:p>
    <w:p w:rsidR="00FD5546" w:rsidRPr="003F458C" w:rsidRDefault="00FD5546" w:rsidP="00D2339D">
      <w:pPr>
        <w:spacing w:after="0"/>
        <w:jc w:val="both"/>
        <w:rPr>
          <w:rFonts w:ascii="Times New Roman" w:hAnsi="Times New Roman"/>
          <w:sz w:val="20"/>
          <w:szCs w:val="24"/>
        </w:rPr>
      </w:pPr>
    </w:p>
    <w:p w:rsidR="00FD5546" w:rsidRDefault="00FD5546" w:rsidP="00D2339D">
      <w:pPr>
        <w:spacing w:after="0"/>
        <w:jc w:val="both"/>
        <w:rPr>
          <w:rFonts w:ascii="Times New Roman" w:hAnsi="Times New Roman"/>
          <w:sz w:val="24"/>
          <w:szCs w:val="24"/>
        </w:rPr>
      </w:pPr>
      <w:r>
        <w:rPr>
          <w:rFonts w:ascii="Times New Roman" w:hAnsi="Times New Roman"/>
          <w:sz w:val="24"/>
          <w:szCs w:val="24"/>
        </w:rPr>
        <w:t xml:space="preserve">L’art. 67 del RDC </w:t>
      </w:r>
      <w:r w:rsidRPr="00143862">
        <w:rPr>
          <w:rFonts w:ascii="Times New Roman" w:hAnsi="Times New Roman"/>
          <w:sz w:val="24"/>
          <w:szCs w:val="24"/>
          <w:u w:val="single"/>
        </w:rPr>
        <w:t>Forme di sovvenzioni e assistenza rimborsabile</w:t>
      </w:r>
      <w:r>
        <w:rPr>
          <w:rFonts w:ascii="Times New Roman" w:hAnsi="Times New Roman"/>
          <w:sz w:val="24"/>
          <w:szCs w:val="24"/>
        </w:rPr>
        <w:t xml:space="preserve">, del quale non vi è equivalente articolo nel regolamento generale 2007-2013, introduce le opzioni di semplificazione dei costi, in particolare precisa che le sovvenzioni e l’assistenza rimborsabile possono prendere la forma di rimborso dei costi ammissibili effettivamente sostenuti, di tabelle standard di costi ammissibili, di </w:t>
      </w:r>
      <w:r>
        <w:rPr>
          <w:rFonts w:ascii="Times New Roman" w:hAnsi="Times New Roman"/>
          <w:sz w:val="24"/>
          <w:szCs w:val="24"/>
        </w:rPr>
        <w:lastRenderedPageBreak/>
        <w:t xml:space="preserve">somme forfettarie non superiori a 100.000 euro di contributo pubblico e di finanziamenti a tasso forfettario, calcolati applicando una determinata percentuale a una o più categorie di costo definite. Nel primo caso, in sostanza, il riconoscimento dei costi avviene sulla base del principio dei </w:t>
      </w:r>
      <w:r w:rsidRPr="00143862">
        <w:rPr>
          <w:rFonts w:ascii="Times New Roman" w:hAnsi="Times New Roman"/>
          <w:b/>
          <w:sz w:val="24"/>
          <w:szCs w:val="24"/>
        </w:rPr>
        <w:t>costi reali</w:t>
      </w:r>
      <w:r>
        <w:rPr>
          <w:rFonts w:ascii="Times New Roman" w:hAnsi="Times New Roman"/>
          <w:sz w:val="24"/>
          <w:szCs w:val="24"/>
        </w:rPr>
        <w:t xml:space="preserve">, mentre negli altri casi il finanziamento è riconosciuto in applicazione </w:t>
      </w:r>
      <w:r w:rsidRPr="00143862">
        <w:rPr>
          <w:rFonts w:ascii="Times New Roman" w:hAnsi="Times New Roman"/>
          <w:sz w:val="24"/>
          <w:szCs w:val="24"/>
        </w:rPr>
        <w:t xml:space="preserve">del </w:t>
      </w:r>
      <w:r w:rsidRPr="00143862">
        <w:rPr>
          <w:rFonts w:ascii="Times New Roman" w:hAnsi="Times New Roman"/>
          <w:b/>
          <w:sz w:val="24"/>
          <w:szCs w:val="24"/>
        </w:rPr>
        <w:t>principio di semplificazione dei costi</w:t>
      </w:r>
      <w:r w:rsidRPr="00143862">
        <w:rPr>
          <w:rFonts w:ascii="Times New Roman" w:hAnsi="Times New Roman"/>
          <w:sz w:val="24"/>
          <w:szCs w:val="24"/>
        </w:rPr>
        <w:t>.</w:t>
      </w:r>
    </w:p>
    <w:p w:rsidR="00FD5546" w:rsidRPr="003F458C" w:rsidRDefault="00FD5546" w:rsidP="00D2339D">
      <w:pPr>
        <w:spacing w:after="0"/>
        <w:jc w:val="both"/>
        <w:rPr>
          <w:rFonts w:ascii="Times New Roman" w:hAnsi="Times New Roman"/>
          <w:sz w:val="20"/>
          <w:szCs w:val="24"/>
        </w:rPr>
      </w:pPr>
    </w:p>
    <w:p w:rsidR="00FD5546" w:rsidRDefault="00FD5546" w:rsidP="00D2339D">
      <w:pPr>
        <w:spacing w:after="0"/>
        <w:jc w:val="both"/>
        <w:rPr>
          <w:rFonts w:ascii="Times New Roman" w:hAnsi="Times New Roman"/>
          <w:sz w:val="24"/>
          <w:szCs w:val="24"/>
        </w:rPr>
      </w:pPr>
      <w:r>
        <w:rPr>
          <w:rFonts w:ascii="Times New Roman" w:hAnsi="Times New Roman"/>
          <w:sz w:val="24"/>
          <w:szCs w:val="24"/>
        </w:rPr>
        <w:t>In linea generale, si rileva come le forme di finanziamento restino una scelta opzionale; per eventuali limitazioni o specifiche si rimanda, infatti, ai regolamenti dei Fondi.</w:t>
      </w:r>
    </w:p>
    <w:p w:rsidR="00FD5546" w:rsidRPr="003F458C" w:rsidRDefault="00FD5546" w:rsidP="00D2339D">
      <w:pPr>
        <w:spacing w:after="0"/>
        <w:jc w:val="both"/>
        <w:rPr>
          <w:rFonts w:ascii="Times New Roman" w:hAnsi="Times New Roman"/>
          <w:sz w:val="20"/>
          <w:szCs w:val="24"/>
        </w:rPr>
      </w:pPr>
    </w:p>
    <w:p w:rsidR="00FD5546" w:rsidRDefault="00FD5546" w:rsidP="00D2339D">
      <w:pPr>
        <w:spacing w:after="0"/>
        <w:jc w:val="both"/>
        <w:rPr>
          <w:rFonts w:ascii="Times New Roman" w:hAnsi="Times New Roman"/>
          <w:sz w:val="24"/>
          <w:szCs w:val="24"/>
        </w:rPr>
      </w:pPr>
      <w:r>
        <w:rPr>
          <w:rFonts w:ascii="Times New Roman" w:hAnsi="Times New Roman"/>
          <w:sz w:val="24"/>
          <w:szCs w:val="24"/>
        </w:rPr>
        <w:t>In caso, comunque, di ricorso alla semplificazione dei costi, gli importi (cioè le UCS, o le somme forfettarie o le percentuali del forfait) devono essere stabiliti attraverso un metodo di calcolo giusto equo e verificabile, oppure conformemente alle norme applicabili nelle politiche dell’Unione per tipologie analoghe di operazioni e beneficiari, oppure conformemente alle norme applicabili a politiche nazionali purché si tratti sempre di operazioni e beneficiari analoghi, oppure devono essere stabili direttamente dai regolamenti (generale o specifici dei fondi).</w:t>
      </w:r>
    </w:p>
    <w:p w:rsidR="00FD5546" w:rsidRDefault="00FD5546" w:rsidP="00D2339D">
      <w:pPr>
        <w:spacing w:after="0"/>
        <w:jc w:val="both"/>
        <w:rPr>
          <w:rFonts w:ascii="Times New Roman" w:hAnsi="Times New Roman"/>
          <w:sz w:val="24"/>
          <w:szCs w:val="24"/>
        </w:rPr>
      </w:pPr>
      <w:r>
        <w:rPr>
          <w:rFonts w:ascii="Times New Roman" w:hAnsi="Times New Roman"/>
          <w:sz w:val="24"/>
          <w:szCs w:val="24"/>
        </w:rPr>
        <w:t>In continuità con l’attuale programmazione, si evidenzia che il metodo giusto, equo e verificabile può basarsi su dati statistici o altre informazioni oggetti</w:t>
      </w:r>
      <w:r w:rsidR="0021274C">
        <w:rPr>
          <w:rFonts w:ascii="Times New Roman" w:hAnsi="Times New Roman"/>
          <w:sz w:val="24"/>
          <w:szCs w:val="24"/>
        </w:rPr>
        <w:t>ve</w:t>
      </w:r>
      <w:r>
        <w:rPr>
          <w:rFonts w:ascii="Times New Roman" w:hAnsi="Times New Roman"/>
          <w:sz w:val="24"/>
          <w:szCs w:val="24"/>
        </w:rPr>
        <w:t xml:space="preserve"> (es. indagine di mercato), su dati storici o sull’applicazione delle normali prassi di contabilità dei costi dei singoli beneficiari. In quest’ultimo caso, che rappresenta una novità rispetto alla passata programmazione, è possibile che il legislatore abbiamo voluto comprendere l’ipotesi di definire costi semplificati per singoli beneficiari degli interventi, sulla base della contabilità</w:t>
      </w:r>
      <w:r w:rsidRPr="00093F01">
        <w:rPr>
          <w:rFonts w:ascii="Times New Roman" w:hAnsi="Times New Roman"/>
          <w:sz w:val="24"/>
          <w:szCs w:val="24"/>
        </w:rPr>
        <w:t xml:space="preserve"> </w:t>
      </w:r>
      <w:r>
        <w:rPr>
          <w:rFonts w:ascii="Times New Roman" w:hAnsi="Times New Roman"/>
          <w:sz w:val="24"/>
          <w:szCs w:val="24"/>
        </w:rPr>
        <w:t xml:space="preserve">propria di ciascun beneficiario. </w:t>
      </w:r>
    </w:p>
    <w:p w:rsidR="00FD5546" w:rsidRDefault="00FD5546" w:rsidP="00D2339D">
      <w:pPr>
        <w:spacing w:after="0"/>
        <w:jc w:val="both"/>
        <w:rPr>
          <w:rFonts w:ascii="Times New Roman" w:hAnsi="Times New Roman"/>
          <w:sz w:val="24"/>
          <w:szCs w:val="24"/>
        </w:rPr>
      </w:pPr>
      <w:r>
        <w:rPr>
          <w:rFonts w:ascii="Times New Roman" w:hAnsi="Times New Roman"/>
          <w:sz w:val="24"/>
          <w:szCs w:val="24"/>
        </w:rPr>
        <w:t xml:space="preserve">La possibilità, invece, di fare riferimento a norme comunitarie o nazionali per tipologie analoghe di operazioni e beneficiari per definire gli importi semplificati, sembra riconducibile all’ipotesi già prospettata </w:t>
      </w:r>
      <w:r w:rsidR="0021274C">
        <w:rPr>
          <w:rFonts w:ascii="Times New Roman" w:hAnsi="Times New Roman"/>
          <w:sz w:val="24"/>
          <w:szCs w:val="24"/>
        </w:rPr>
        <w:t>nel</w:t>
      </w:r>
      <w:r>
        <w:rPr>
          <w:rFonts w:ascii="Times New Roman" w:hAnsi="Times New Roman"/>
          <w:sz w:val="24"/>
          <w:szCs w:val="24"/>
        </w:rPr>
        <w:t xml:space="preserve"> periodo </w:t>
      </w:r>
      <w:r w:rsidR="0021274C">
        <w:rPr>
          <w:rFonts w:ascii="Times New Roman" w:hAnsi="Times New Roman"/>
          <w:sz w:val="24"/>
          <w:szCs w:val="24"/>
        </w:rPr>
        <w:t>2007-2013</w:t>
      </w:r>
      <w:r>
        <w:rPr>
          <w:rFonts w:ascii="Times New Roman" w:hAnsi="Times New Roman"/>
          <w:sz w:val="24"/>
          <w:szCs w:val="24"/>
        </w:rPr>
        <w:t xml:space="preserve"> di utilizzare costi semplificati </w:t>
      </w:r>
      <w:r w:rsidR="0021274C">
        <w:rPr>
          <w:rFonts w:ascii="Times New Roman" w:hAnsi="Times New Roman"/>
          <w:sz w:val="24"/>
          <w:szCs w:val="24"/>
        </w:rPr>
        <w:t>previsti</w:t>
      </w:r>
      <w:r>
        <w:rPr>
          <w:rFonts w:ascii="Times New Roman" w:hAnsi="Times New Roman"/>
          <w:sz w:val="24"/>
          <w:szCs w:val="24"/>
        </w:rPr>
        <w:t xml:space="preserve"> </w:t>
      </w:r>
      <w:r w:rsidR="0021274C">
        <w:rPr>
          <w:rFonts w:ascii="Times New Roman" w:hAnsi="Times New Roman"/>
          <w:sz w:val="24"/>
          <w:szCs w:val="24"/>
        </w:rPr>
        <w:t>da</w:t>
      </w:r>
      <w:r>
        <w:rPr>
          <w:rFonts w:ascii="Times New Roman" w:hAnsi="Times New Roman"/>
          <w:sz w:val="24"/>
          <w:szCs w:val="24"/>
        </w:rPr>
        <w:t xml:space="preserve"> altre Amministrazioni,</w:t>
      </w:r>
      <w:r w:rsidRPr="00C14527">
        <w:rPr>
          <w:rFonts w:ascii="Times New Roman" w:hAnsi="Times New Roman"/>
          <w:sz w:val="24"/>
          <w:szCs w:val="24"/>
        </w:rPr>
        <w:t xml:space="preserve"> </w:t>
      </w:r>
      <w:r>
        <w:rPr>
          <w:rFonts w:ascii="Times New Roman" w:hAnsi="Times New Roman"/>
          <w:sz w:val="24"/>
          <w:szCs w:val="24"/>
        </w:rPr>
        <w:t xml:space="preserve">ovviamente per interventi e beneficiari analoghi. In effetti, come si ricorderà, la nota </w:t>
      </w:r>
      <w:proofErr w:type="spellStart"/>
      <w:r>
        <w:rPr>
          <w:rFonts w:ascii="Times New Roman" w:hAnsi="Times New Roman"/>
          <w:sz w:val="24"/>
          <w:szCs w:val="24"/>
        </w:rPr>
        <w:t>Cocof</w:t>
      </w:r>
      <w:proofErr w:type="spellEnd"/>
      <w:r>
        <w:rPr>
          <w:rFonts w:ascii="Times New Roman" w:hAnsi="Times New Roman"/>
          <w:sz w:val="24"/>
          <w:szCs w:val="24"/>
        </w:rPr>
        <w:t xml:space="preserve"> 09/0025/04-IT precisava che si poteva usare “tabelle analoghe utilizzate dalle autorità pubbliche”, a condizione comunque che il metodo alla base fosse definito in anticipo, e che fosse giusto, equo e verificabile.</w:t>
      </w:r>
    </w:p>
    <w:p w:rsidR="00FD5546" w:rsidRPr="003F458C" w:rsidRDefault="00FD5546" w:rsidP="00D2339D">
      <w:pPr>
        <w:spacing w:after="0"/>
        <w:jc w:val="both"/>
        <w:rPr>
          <w:rFonts w:ascii="Times New Roman" w:hAnsi="Times New Roman"/>
          <w:sz w:val="20"/>
          <w:szCs w:val="24"/>
        </w:rPr>
      </w:pPr>
    </w:p>
    <w:p w:rsidR="00FD5546" w:rsidRDefault="00FD5546" w:rsidP="00D2339D">
      <w:pPr>
        <w:spacing w:after="0"/>
        <w:jc w:val="both"/>
        <w:rPr>
          <w:rFonts w:ascii="Times New Roman" w:hAnsi="Times New Roman"/>
          <w:sz w:val="24"/>
          <w:szCs w:val="24"/>
        </w:rPr>
      </w:pPr>
      <w:r>
        <w:rPr>
          <w:rFonts w:ascii="Times New Roman" w:hAnsi="Times New Roman"/>
          <w:sz w:val="24"/>
          <w:szCs w:val="24"/>
        </w:rPr>
        <w:t xml:space="preserve">Sempre con attenzione alle principali novità dei regolamenti 2014-2020 rispetto a quelli 2007-2013, con riferimento ai requisiti di correttezza del metodo, l’art. 11 del </w:t>
      </w:r>
      <w:r w:rsidR="003F458C">
        <w:rPr>
          <w:rFonts w:ascii="Times New Roman" w:hAnsi="Times New Roman"/>
          <w:sz w:val="24"/>
          <w:szCs w:val="24"/>
        </w:rPr>
        <w:t>R</w:t>
      </w:r>
      <w:r>
        <w:rPr>
          <w:rFonts w:ascii="Times New Roman" w:hAnsi="Times New Roman"/>
          <w:sz w:val="24"/>
          <w:szCs w:val="24"/>
        </w:rPr>
        <w:t>eg. 1083/2006 ss.mm. prevedeva che questo venisse definito</w:t>
      </w:r>
      <w:r w:rsidRPr="00C14527">
        <w:rPr>
          <w:rFonts w:ascii="Times New Roman" w:hAnsi="Times New Roman"/>
          <w:sz w:val="24"/>
          <w:szCs w:val="24"/>
        </w:rPr>
        <w:t xml:space="preserve"> </w:t>
      </w:r>
      <w:r w:rsidRPr="00C14527">
        <w:rPr>
          <w:rFonts w:ascii="Times New Roman" w:hAnsi="Times New Roman"/>
          <w:sz w:val="24"/>
          <w:szCs w:val="24"/>
          <w:u w:val="single"/>
        </w:rPr>
        <w:t>in anticipo</w:t>
      </w:r>
      <w:r>
        <w:rPr>
          <w:rFonts w:ascii="Times New Roman" w:hAnsi="Times New Roman"/>
          <w:sz w:val="24"/>
          <w:szCs w:val="24"/>
        </w:rPr>
        <w:t xml:space="preserve">, e comunque prima della firma della convenzione come esplicitato nella nota </w:t>
      </w:r>
      <w:proofErr w:type="spellStart"/>
      <w:r>
        <w:rPr>
          <w:rFonts w:ascii="Times New Roman" w:hAnsi="Times New Roman"/>
          <w:sz w:val="24"/>
          <w:szCs w:val="24"/>
        </w:rPr>
        <w:t>Cocof</w:t>
      </w:r>
      <w:proofErr w:type="spellEnd"/>
      <w:r>
        <w:rPr>
          <w:rFonts w:ascii="Times New Roman" w:hAnsi="Times New Roman"/>
          <w:sz w:val="24"/>
          <w:szCs w:val="24"/>
        </w:rPr>
        <w:t>.</w:t>
      </w:r>
    </w:p>
    <w:p w:rsidR="00FD5546" w:rsidRPr="00D626A7" w:rsidRDefault="00FD5546" w:rsidP="00D2339D">
      <w:pPr>
        <w:spacing w:after="0"/>
        <w:jc w:val="both"/>
        <w:rPr>
          <w:rFonts w:ascii="Times New Roman" w:hAnsi="Times New Roman"/>
          <w:strike/>
          <w:sz w:val="24"/>
          <w:szCs w:val="24"/>
        </w:rPr>
      </w:pPr>
      <w:r>
        <w:rPr>
          <w:rFonts w:ascii="Times New Roman" w:hAnsi="Times New Roman"/>
          <w:sz w:val="24"/>
          <w:szCs w:val="24"/>
        </w:rPr>
        <w:t xml:space="preserve">Sebbene tale requisito non sia espressamente previsto nei regolamenti comunitari 2014-2020, non si può escludere che venga precisato </w:t>
      </w:r>
      <w:r w:rsidR="00CF4D2B">
        <w:rPr>
          <w:rFonts w:ascii="Times New Roman" w:hAnsi="Times New Roman"/>
          <w:sz w:val="24"/>
          <w:szCs w:val="24"/>
        </w:rPr>
        <w:t>n</w:t>
      </w:r>
      <w:r>
        <w:rPr>
          <w:rFonts w:ascii="Times New Roman" w:hAnsi="Times New Roman"/>
          <w:sz w:val="24"/>
          <w:szCs w:val="24"/>
        </w:rPr>
        <w:t xml:space="preserve">ella nota </w:t>
      </w:r>
      <w:proofErr w:type="spellStart"/>
      <w:r>
        <w:rPr>
          <w:rFonts w:ascii="Times New Roman" w:hAnsi="Times New Roman"/>
          <w:sz w:val="24"/>
          <w:szCs w:val="24"/>
        </w:rPr>
        <w:t>Cocof</w:t>
      </w:r>
      <w:proofErr w:type="spellEnd"/>
      <w:r>
        <w:rPr>
          <w:rFonts w:ascii="Times New Roman" w:hAnsi="Times New Roman"/>
          <w:sz w:val="24"/>
          <w:szCs w:val="24"/>
        </w:rPr>
        <w:t xml:space="preserve"> sulla semplificazione dei costi attualmente in revisione o nei prossimi </w:t>
      </w:r>
      <w:r w:rsidRPr="001639F9">
        <w:rPr>
          <w:rFonts w:ascii="Times New Roman" w:hAnsi="Times New Roman"/>
          <w:sz w:val="24"/>
          <w:szCs w:val="24"/>
        </w:rPr>
        <w:t xml:space="preserve">regolamenti </w:t>
      </w:r>
      <w:r w:rsidR="00D626A7" w:rsidRPr="001639F9">
        <w:rPr>
          <w:rFonts w:ascii="Times New Roman" w:hAnsi="Times New Roman"/>
          <w:sz w:val="24"/>
          <w:szCs w:val="24"/>
        </w:rPr>
        <w:t>di attuazione</w:t>
      </w:r>
      <w:r w:rsidR="00136CD8">
        <w:rPr>
          <w:rFonts w:ascii="Times New Roman" w:hAnsi="Times New Roman"/>
          <w:sz w:val="24"/>
          <w:szCs w:val="24"/>
        </w:rPr>
        <w:t xml:space="preserve">. </w:t>
      </w:r>
    </w:p>
    <w:p w:rsidR="00FD5546" w:rsidRDefault="00FD5546" w:rsidP="00D2339D">
      <w:pPr>
        <w:spacing w:after="0"/>
        <w:jc w:val="both"/>
        <w:rPr>
          <w:rFonts w:ascii="Times New Roman" w:hAnsi="Times New Roman"/>
          <w:sz w:val="24"/>
          <w:szCs w:val="24"/>
        </w:rPr>
      </w:pPr>
      <w:r>
        <w:rPr>
          <w:rFonts w:ascii="Times New Roman" w:hAnsi="Times New Roman"/>
          <w:sz w:val="24"/>
          <w:szCs w:val="24"/>
        </w:rPr>
        <w:t>Un ulteriore elemento di novità riguarda l’importo massimo delle somme forfettarie; nell’attuale programmazione per il FSE era possibile riconoscere le spese di un’operazione o di parte di essa sulla base di somme forfettarie per importi non superiore ai 50.000 euro, l’art. 67 del nuovo regolamento generale innalza tale limite a 100.000 euro.</w:t>
      </w:r>
    </w:p>
    <w:p w:rsidR="00FD5546" w:rsidRPr="003F458C" w:rsidRDefault="00FD5546" w:rsidP="00D2339D">
      <w:pPr>
        <w:spacing w:after="0"/>
        <w:jc w:val="both"/>
        <w:rPr>
          <w:rFonts w:ascii="Times New Roman" w:hAnsi="Times New Roman"/>
          <w:sz w:val="20"/>
          <w:szCs w:val="24"/>
        </w:rPr>
      </w:pPr>
    </w:p>
    <w:p w:rsidR="00FD5546" w:rsidRDefault="00FD5546" w:rsidP="00D2339D">
      <w:pPr>
        <w:spacing w:after="0"/>
        <w:jc w:val="both"/>
        <w:rPr>
          <w:rFonts w:ascii="Times New Roman" w:hAnsi="Times New Roman"/>
          <w:sz w:val="24"/>
          <w:szCs w:val="24"/>
        </w:rPr>
      </w:pPr>
      <w:r>
        <w:rPr>
          <w:rFonts w:ascii="Times New Roman" w:hAnsi="Times New Roman"/>
          <w:sz w:val="24"/>
          <w:szCs w:val="24"/>
        </w:rPr>
        <w:t>L’art. 67 del RDC precisa poi alcuni concetti già appresi nell’attuale periodo di programmazione</w:t>
      </w:r>
      <w:r w:rsidR="0021274C">
        <w:rPr>
          <w:rFonts w:ascii="Times New Roman" w:hAnsi="Times New Roman"/>
          <w:sz w:val="24"/>
          <w:szCs w:val="24"/>
        </w:rPr>
        <w:t>:</w:t>
      </w:r>
      <w:r>
        <w:rPr>
          <w:rFonts w:ascii="Times New Roman" w:hAnsi="Times New Roman"/>
          <w:sz w:val="24"/>
          <w:szCs w:val="24"/>
        </w:rPr>
        <w:t xml:space="preserve"> in primo luogo la possibilità di combinare le opzioni di riconoscimento dei costi (unicamente però se ciascuna opzione copre diverse categorie di costo, oppure se sono utilizzate per progetti diversi facenti parte di un’operazione o per fasi successive di un’operazione)</w:t>
      </w:r>
      <w:r w:rsidR="0021274C">
        <w:rPr>
          <w:rFonts w:ascii="Times New Roman" w:hAnsi="Times New Roman"/>
          <w:sz w:val="24"/>
          <w:szCs w:val="24"/>
        </w:rPr>
        <w:t>;</w:t>
      </w:r>
      <w:r>
        <w:rPr>
          <w:rFonts w:ascii="Times New Roman" w:hAnsi="Times New Roman"/>
          <w:sz w:val="24"/>
          <w:szCs w:val="24"/>
        </w:rPr>
        <w:t xml:space="preserve"> </w:t>
      </w:r>
      <w:r w:rsidR="0021274C">
        <w:rPr>
          <w:rFonts w:ascii="Times New Roman" w:hAnsi="Times New Roman"/>
          <w:sz w:val="24"/>
          <w:szCs w:val="24"/>
        </w:rPr>
        <w:t>i</w:t>
      </w:r>
      <w:r>
        <w:rPr>
          <w:rFonts w:ascii="Times New Roman" w:hAnsi="Times New Roman"/>
          <w:sz w:val="24"/>
          <w:szCs w:val="24"/>
        </w:rPr>
        <w:t>n secondo luogo che, in caso di operazioni o progetti finanziati esclusivamente attraverso il ricorso ad appalti pubblici di opere, beni o servizi, i costi s</w:t>
      </w:r>
      <w:r w:rsidR="0021274C">
        <w:rPr>
          <w:rFonts w:ascii="Times New Roman" w:hAnsi="Times New Roman"/>
          <w:sz w:val="24"/>
          <w:szCs w:val="24"/>
        </w:rPr>
        <w:t>ia</w:t>
      </w:r>
      <w:r>
        <w:rPr>
          <w:rFonts w:ascii="Times New Roman" w:hAnsi="Times New Roman"/>
          <w:sz w:val="24"/>
          <w:szCs w:val="24"/>
        </w:rPr>
        <w:t xml:space="preserve">no riconosciuti sulla base del principio dei costi reali; nel caso invece di appalto </w:t>
      </w:r>
      <w:r>
        <w:rPr>
          <w:rFonts w:ascii="Times New Roman" w:hAnsi="Times New Roman"/>
          <w:sz w:val="24"/>
          <w:szCs w:val="24"/>
        </w:rPr>
        <w:lastRenderedPageBreak/>
        <w:t>pubblico limitato a determinate categorie di costo, le spese possono essere riconosciute anche attraverso opzioni di semplificazioni.</w:t>
      </w:r>
    </w:p>
    <w:p w:rsidR="00FD5546" w:rsidRPr="003F458C" w:rsidRDefault="00FD5546" w:rsidP="00D2339D">
      <w:pPr>
        <w:spacing w:after="0"/>
        <w:jc w:val="both"/>
        <w:rPr>
          <w:rFonts w:ascii="Times New Roman" w:hAnsi="Times New Roman"/>
          <w:sz w:val="20"/>
          <w:szCs w:val="24"/>
        </w:rPr>
      </w:pPr>
    </w:p>
    <w:p w:rsidR="00FD5546" w:rsidRDefault="00FD5546" w:rsidP="00D2339D">
      <w:pPr>
        <w:spacing w:after="0"/>
        <w:jc w:val="both"/>
        <w:rPr>
          <w:rFonts w:ascii="Times New Roman" w:hAnsi="Times New Roman"/>
          <w:sz w:val="24"/>
          <w:szCs w:val="24"/>
        </w:rPr>
      </w:pPr>
      <w:r>
        <w:rPr>
          <w:rFonts w:ascii="Times New Roman" w:hAnsi="Times New Roman"/>
          <w:sz w:val="24"/>
          <w:szCs w:val="24"/>
        </w:rPr>
        <w:t xml:space="preserve">In ultimo, l’art. 67 del RDC precisa che il metodo da applicare per stabilire i costi dell’operazione e le condizioni di pagamento della sovvenzione devono essere specificati in un apposito documento, presumibilmente l’avviso pubblico, la convenzione, oppure il manuale di gestione. </w:t>
      </w:r>
    </w:p>
    <w:p w:rsidR="00FD5546" w:rsidRPr="003F458C" w:rsidRDefault="00FD5546" w:rsidP="00D2339D">
      <w:pPr>
        <w:spacing w:after="0"/>
        <w:jc w:val="both"/>
        <w:rPr>
          <w:rFonts w:ascii="Times New Roman" w:hAnsi="Times New Roman"/>
          <w:sz w:val="20"/>
          <w:szCs w:val="24"/>
        </w:rPr>
      </w:pPr>
    </w:p>
    <w:p w:rsidR="00FD5546" w:rsidRDefault="00FD5546" w:rsidP="00D2339D">
      <w:pPr>
        <w:spacing w:after="0"/>
        <w:jc w:val="both"/>
        <w:rPr>
          <w:rFonts w:ascii="Times New Roman" w:hAnsi="Times New Roman"/>
          <w:sz w:val="24"/>
          <w:szCs w:val="24"/>
        </w:rPr>
      </w:pPr>
      <w:r>
        <w:rPr>
          <w:rFonts w:ascii="Times New Roman" w:hAnsi="Times New Roman"/>
          <w:sz w:val="24"/>
          <w:szCs w:val="24"/>
        </w:rPr>
        <w:t xml:space="preserve">L’art. 68 del RDC riguarda, invece, il </w:t>
      </w:r>
      <w:r w:rsidRPr="00143862">
        <w:rPr>
          <w:rFonts w:ascii="Times New Roman" w:hAnsi="Times New Roman"/>
          <w:sz w:val="24"/>
          <w:szCs w:val="24"/>
          <w:u w:val="single"/>
        </w:rPr>
        <w:t>Finanziamento a tasso forfettario dei costi indiretti e dei costi per il personale in materia di sovvenzioni e all’assistenza rimborsabile</w:t>
      </w:r>
      <w:r>
        <w:rPr>
          <w:rFonts w:ascii="Times New Roman" w:hAnsi="Times New Roman"/>
          <w:sz w:val="24"/>
          <w:szCs w:val="24"/>
        </w:rPr>
        <w:t>. Analogamente agli articoli precedenti, questa disposizione non ha equivalenti nei regolamenti comunitari per la programmazione 2007-2013 e si applica a tutti i fondi SIE. A differenza dei precedenti, però, questo articolo fa riferimento all’applicazione della semplificazione dei costi a due categorie di costo ben precise, ovvero ai costi indiretti e ai costi per il personale.</w:t>
      </w:r>
    </w:p>
    <w:p w:rsidR="00FD5546" w:rsidRDefault="00FD5546" w:rsidP="00D2339D">
      <w:pPr>
        <w:spacing w:after="0"/>
        <w:jc w:val="both"/>
        <w:rPr>
          <w:rFonts w:ascii="Times New Roman" w:hAnsi="Times New Roman"/>
          <w:sz w:val="24"/>
          <w:szCs w:val="24"/>
        </w:rPr>
      </w:pPr>
      <w:r>
        <w:rPr>
          <w:rFonts w:ascii="Times New Roman" w:hAnsi="Times New Roman"/>
          <w:sz w:val="24"/>
          <w:szCs w:val="24"/>
        </w:rPr>
        <w:t xml:space="preserve">Nel primo caso, presumibilmente in considerazione dell’esperienza positiva di questa programmazione nel ricorso a tassi forfettari per il riconoscimento dei costi indiretti, si ammette la possibilità di </w:t>
      </w:r>
      <w:r w:rsidRPr="00405AA1">
        <w:rPr>
          <w:rFonts w:ascii="Times New Roman" w:hAnsi="Times New Roman"/>
          <w:b/>
          <w:sz w:val="24"/>
          <w:szCs w:val="24"/>
        </w:rPr>
        <w:t>riconoscere i costi indiretti sulla base di un tasso forfettario fino al 25% dei costi diretti ammissibili</w:t>
      </w:r>
      <w:r>
        <w:rPr>
          <w:rFonts w:ascii="Times New Roman" w:hAnsi="Times New Roman"/>
          <w:sz w:val="24"/>
          <w:szCs w:val="24"/>
        </w:rPr>
        <w:t xml:space="preserve">; in tal caso, in coerenza con l’art. 67 par. 5 </w:t>
      </w:r>
      <w:proofErr w:type="spellStart"/>
      <w:r>
        <w:rPr>
          <w:rFonts w:ascii="Times New Roman" w:hAnsi="Times New Roman"/>
          <w:sz w:val="24"/>
          <w:szCs w:val="24"/>
        </w:rPr>
        <w:t>lett</w:t>
      </w:r>
      <w:proofErr w:type="spellEnd"/>
      <w:r>
        <w:rPr>
          <w:rFonts w:ascii="Times New Roman" w:hAnsi="Times New Roman"/>
          <w:sz w:val="24"/>
          <w:szCs w:val="24"/>
        </w:rPr>
        <w:t xml:space="preserve">. a) è necessario che vi sia alla base una metodologia giusta equa e verificabile. E’ possibile, inoltre, </w:t>
      </w:r>
      <w:r w:rsidRPr="00405AA1">
        <w:rPr>
          <w:rFonts w:ascii="Times New Roman" w:hAnsi="Times New Roman"/>
          <w:b/>
          <w:sz w:val="24"/>
          <w:szCs w:val="24"/>
        </w:rPr>
        <w:t>riconoscere i costi indiretti sulla base di un tasso forfettario fino al 15% dei costi diretti del personale</w:t>
      </w:r>
      <w:r>
        <w:rPr>
          <w:rFonts w:ascii="Times New Roman" w:hAnsi="Times New Roman"/>
          <w:sz w:val="24"/>
          <w:szCs w:val="24"/>
        </w:rPr>
        <w:t xml:space="preserve">; in tal caso, però, non sarà necessario eseguire un calcolo per la determinazione del tasso applicabile. </w:t>
      </w:r>
    </w:p>
    <w:p w:rsidR="00FD5546" w:rsidRDefault="00FD5546" w:rsidP="00D2339D">
      <w:pPr>
        <w:spacing w:after="0"/>
        <w:jc w:val="both"/>
        <w:rPr>
          <w:rFonts w:ascii="Times New Roman" w:hAnsi="Times New Roman"/>
          <w:sz w:val="24"/>
          <w:szCs w:val="24"/>
        </w:rPr>
      </w:pPr>
      <w:r>
        <w:rPr>
          <w:rFonts w:ascii="Times New Roman" w:hAnsi="Times New Roman"/>
          <w:sz w:val="24"/>
          <w:szCs w:val="24"/>
        </w:rPr>
        <w:t>La principale differenza tra le due ipotesi è ovviamente la base sulla quale applicare il tasso forfettario per calcolare poi i costi indiretti: nel primo caso la base è composta da tutti i costi diretti dell’operazione siano essi di preparazione o di realizzazione dell’intervento, nel secondo caso invece la base è costituita esclusivamente dai costi diretti del personale, escludendo quindi quelli legati ad esempio all’impiego delle strutture (es. affitti).</w:t>
      </w:r>
    </w:p>
    <w:p w:rsidR="00FD5546" w:rsidRDefault="00FD5546" w:rsidP="00D2339D">
      <w:pPr>
        <w:spacing w:after="0"/>
        <w:jc w:val="both"/>
        <w:rPr>
          <w:rFonts w:ascii="Times New Roman" w:hAnsi="Times New Roman"/>
          <w:sz w:val="24"/>
          <w:szCs w:val="24"/>
        </w:rPr>
      </w:pPr>
      <w:r>
        <w:rPr>
          <w:rFonts w:ascii="Times New Roman" w:hAnsi="Times New Roman"/>
          <w:sz w:val="24"/>
          <w:szCs w:val="24"/>
        </w:rPr>
        <w:t>Si tratta di una differenza molto rilevante che lascia supporre che l’utilizzo di un tasso piuttosto di un altro possa dipendere, non solo dal lavoro di definire o meno una metodologia, ma anche dalla natura dell’operazione stessa (es. tanto più alti sono i costi diretti del personale, tanto maggiore è la convenienza di applicare un tasso forfettario fino al 15% per riconoscere i costi indiretti).</w:t>
      </w:r>
    </w:p>
    <w:p w:rsidR="00FD5546" w:rsidRDefault="00FD5546" w:rsidP="00D2339D">
      <w:pPr>
        <w:spacing w:after="0"/>
        <w:jc w:val="both"/>
        <w:rPr>
          <w:rFonts w:ascii="Times New Roman" w:hAnsi="Times New Roman"/>
          <w:sz w:val="24"/>
          <w:szCs w:val="24"/>
        </w:rPr>
      </w:pPr>
      <w:r>
        <w:rPr>
          <w:rFonts w:ascii="Times New Roman" w:hAnsi="Times New Roman"/>
          <w:sz w:val="24"/>
          <w:szCs w:val="24"/>
        </w:rPr>
        <w:t xml:space="preserve">In entrambi i casi, si nota inoltre che il legislatore non fissa una percentuale, ma definisce un massimale, lasciando presupporre la possibilità che i tassi forfettari possano anche non essere gli stessi. </w:t>
      </w:r>
    </w:p>
    <w:p w:rsidR="00FD5546" w:rsidRDefault="00FD5546" w:rsidP="00D2339D">
      <w:pPr>
        <w:spacing w:after="0"/>
        <w:jc w:val="both"/>
        <w:rPr>
          <w:rFonts w:ascii="Times New Roman" w:hAnsi="Times New Roman"/>
          <w:sz w:val="24"/>
          <w:szCs w:val="24"/>
        </w:rPr>
      </w:pPr>
      <w:r>
        <w:rPr>
          <w:rFonts w:ascii="Times New Roman" w:hAnsi="Times New Roman"/>
          <w:sz w:val="24"/>
          <w:szCs w:val="24"/>
        </w:rPr>
        <w:t xml:space="preserve">Un’altra possibilità precisata dal legislatore per riconoscere i costi indiretti è quella di utilizzare tassi forfettari già utilizzati nell’ambito di politiche comunitarie che finanziano interventi analoghi in termini di operazione e beneficiario. In tal caso, comunque, </w:t>
      </w:r>
      <w:r w:rsidR="00D626A7" w:rsidRPr="001639F9">
        <w:rPr>
          <w:rFonts w:ascii="Times New Roman" w:hAnsi="Times New Roman"/>
          <w:sz w:val="24"/>
          <w:szCs w:val="24"/>
        </w:rPr>
        <w:t>è prevista la pubblicazione di un Regolamento Delegato che contenga</w:t>
      </w:r>
      <w:r w:rsidR="00D626A7">
        <w:rPr>
          <w:rFonts w:ascii="Times New Roman" w:hAnsi="Times New Roman"/>
          <w:sz w:val="24"/>
          <w:szCs w:val="24"/>
        </w:rPr>
        <w:t xml:space="preserve"> </w:t>
      </w:r>
      <w:r>
        <w:rPr>
          <w:rFonts w:ascii="Times New Roman" w:hAnsi="Times New Roman"/>
          <w:sz w:val="24"/>
          <w:szCs w:val="24"/>
        </w:rPr>
        <w:t xml:space="preserve">la definizione del tasso forfettario e i relativi metodi di </w:t>
      </w:r>
      <w:r w:rsidRPr="00DF6C74">
        <w:rPr>
          <w:rFonts w:ascii="Times New Roman" w:hAnsi="Times New Roman"/>
          <w:sz w:val="24"/>
          <w:szCs w:val="24"/>
        </w:rPr>
        <w:t xml:space="preserve">calcolo </w:t>
      </w:r>
      <w:r w:rsidR="00136CD8">
        <w:rPr>
          <w:rFonts w:ascii="Times New Roman" w:hAnsi="Times New Roman"/>
          <w:sz w:val="24"/>
          <w:szCs w:val="24"/>
        </w:rPr>
        <w:t>da utilizzare.</w:t>
      </w:r>
    </w:p>
    <w:p w:rsidR="00FD5546" w:rsidRDefault="00FD5546" w:rsidP="00D2339D">
      <w:pPr>
        <w:spacing w:after="0"/>
        <w:jc w:val="both"/>
        <w:rPr>
          <w:rFonts w:ascii="Times New Roman" w:hAnsi="Times New Roman"/>
          <w:sz w:val="24"/>
          <w:szCs w:val="24"/>
        </w:rPr>
      </w:pPr>
      <w:r>
        <w:rPr>
          <w:rFonts w:ascii="Times New Roman" w:hAnsi="Times New Roman"/>
          <w:sz w:val="24"/>
          <w:szCs w:val="24"/>
        </w:rPr>
        <w:t xml:space="preserve">In ultimo, per la prima volta il legislatore propone un metodo di calcolo per i costi del personale connessi all’attuazione di un’operazione e stabilisce che la tariffa oraria può essere calcolata dividendo per 1.720 ore i più recenti costi annui lordi per l’impiego documentati. </w:t>
      </w:r>
      <w:r w:rsidR="003F458C">
        <w:rPr>
          <w:rFonts w:ascii="Times New Roman" w:hAnsi="Times New Roman"/>
          <w:sz w:val="24"/>
          <w:szCs w:val="24"/>
        </w:rPr>
        <w:t xml:space="preserve">È </w:t>
      </w:r>
      <w:r>
        <w:rPr>
          <w:rFonts w:ascii="Times New Roman" w:hAnsi="Times New Roman"/>
          <w:sz w:val="24"/>
          <w:szCs w:val="24"/>
        </w:rPr>
        <w:t>possibile quindi far riferimento alle tabelle dei contratti collettivi di settore e dividere i costi annui lordi per 1.720 ore per determinare il costo orario del personale; questo, a sua volta, per determinare il costo complessivo dovrà essere moltiplicato per le ore di effettivo impiego in un’operazione.</w:t>
      </w:r>
    </w:p>
    <w:p w:rsidR="00FD5546" w:rsidRPr="003F458C" w:rsidRDefault="00FD5546" w:rsidP="00D2339D">
      <w:pPr>
        <w:spacing w:after="0"/>
        <w:jc w:val="both"/>
        <w:rPr>
          <w:rFonts w:ascii="Times New Roman" w:hAnsi="Times New Roman"/>
          <w:sz w:val="20"/>
          <w:szCs w:val="24"/>
        </w:rPr>
      </w:pPr>
    </w:p>
    <w:p w:rsidR="00FD5546" w:rsidRDefault="00FD5546" w:rsidP="00D2339D">
      <w:pPr>
        <w:spacing w:after="0"/>
        <w:jc w:val="both"/>
        <w:rPr>
          <w:rFonts w:ascii="Times New Roman" w:hAnsi="Times New Roman"/>
          <w:sz w:val="24"/>
          <w:szCs w:val="24"/>
        </w:rPr>
      </w:pPr>
      <w:r>
        <w:rPr>
          <w:rFonts w:ascii="Times New Roman" w:hAnsi="Times New Roman"/>
          <w:sz w:val="24"/>
          <w:szCs w:val="24"/>
        </w:rPr>
        <w:t xml:space="preserve">Con riferimento alla semplificazione dei costi, merita particolare attenzione anche l’art. 14 del </w:t>
      </w:r>
      <w:r w:rsidR="003F458C">
        <w:rPr>
          <w:rFonts w:ascii="Times New Roman" w:hAnsi="Times New Roman"/>
          <w:sz w:val="24"/>
          <w:szCs w:val="24"/>
        </w:rPr>
        <w:t>R</w:t>
      </w:r>
      <w:r>
        <w:rPr>
          <w:rFonts w:ascii="Times New Roman" w:hAnsi="Times New Roman"/>
          <w:sz w:val="24"/>
          <w:szCs w:val="24"/>
        </w:rPr>
        <w:t>eg. FSE. L’articolo</w:t>
      </w:r>
      <w:r w:rsidRPr="00143862">
        <w:rPr>
          <w:rFonts w:ascii="Times New Roman" w:hAnsi="Times New Roman"/>
          <w:sz w:val="24"/>
          <w:szCs w:val="24"/>
        </w:rPr>
        <w:t xml:space="preserve"> </w:t>
      </w:r>
      <w:r w:rsidRPr="00143862">
        <w:rPr>
          <w:rFonts w:ascii="Times New Roman" w:hAnsi="Times New Roman"/>
          <w:sz w:val="24"/>
          <w:szCs w:val="24"/>
          <w:u w:val="single"/>
        </w:rPr>
        <w:t>Opzioni semplificate in materia di costi</w:t>
      </w:r>
      <w:r>
        <w:rPr>
          <w:rFonts w:ascii="Times New Roman" w:hAnsi="Times New Roman"/>
          <w:sz w:val="24"/>
          <w:szCs w:val="24"/>
        </w:rPr>
        <w:t xml:space="preserve">, strutturato in quattro paragrafi, completa e specifica infatti per il FSE quanto disposto a livello generale all’art. 67 del RDC. </w:t>
      </w:r>
    </w:p>
    <w:p w:rsidR="00FD5546" w:rsidRDefault="00FD5546" w:rsidP="00D2339D">
      <w:pPr>
        <w:spacing w:after="0"/>
        <w:jc w:val="both"/>
        <w:rPr>
          <w:rFonts w:ascii="Times New Roman" w:hAnsi="Times New Roman"/>
          <w:sz w:val="24"/>
          <w:szCs w:val="24"/>
        </w:rPr>
      </w:pPr>
      <w:r>
        <w:rPr>
          <w:rFonts w:ascii="Times New Roman" w:hAnsi="Times New Roman"/>
          <w:sz w:val="24"/>
          <w:szCs w:val="24"/>
        </w:rPr>
        <w:lastRenderedPageBreak/>
        <w:t xml:space="preserve">In particolare al primo comma si dispone che </w:t>
      </w:r>
      <w:r w:rsidRPr="00D44818">
        <w:rPr>
          <w:rFonts w:ascii="Times New Roman" w:hAnsi="Times New Roman"/>
          <w:b/>
          <w:sz w:val="24"/>
          <w:szCs w:val="24"/>
        </w:rPr>
        <w:t>la CE può rimborsare le spese sostenute dagli SM sulla base di tabelle standard di unita di costo e importi forfettari stabiliti dalla Commissione stessa</w:t>
      </w:r>
      <w:r>
        <w:rPr>
          <w:rFonts w:ascii="Times New Roman" w:hAnsi="Times New Roman"/>
          <w:sz w:val="24"/>
          <w:szCs w:val="24"/>
        </w:rPr>
        <w:t xml:space="preserve">. Si tratta di un’ulteriore opzione, anche questa di semplificazione, per riconoscere i costi rispetto a quelle previste all’art. 67 del RDC. A tal fine alla CE è conferito il potere di adottare atti delegati relativi al tipo di operazioni e di semplificazioni interessate. In tal caso le tabelle standard di costo o gli importi forfettari saranno stabili d’accordo con la Commissione sulla base di una serie di dati e informazioni che gli SM e le </w:t>
      </w:r>
      <w:proofErr w:type="spellStart"/>
      <w:r>
        <w:rPr>
          <w:rFonts w:ascii="Times New Roman" w:hAnsi="Times New Roman"/>
          <w:sz w:val="24"/>
          <w:szCs w:val="24"/>
        </w:rPr>
        <w:t>A</w:t>
      </w:r>
      <w:r w:rsidR="003F458C">
        <w:rPr>
          <w:rFonts w:ascii="Times New Roman" w:hAnsi="Times New Roman"/>
          <w:sz w:val="24"/>
          <w:szCs w:val="24"/>
        </w:rPr>
        <w:t>dG</w:t>
      </w:r>
      <w:proofErr w:type="spellEnd"/>
      <w:r>
        <w:rPr>
          <w:rFonts w:ascii="Times New Roman" w:hAnsi="Times New Roman"/>
          <w:sz w:val="24"/>
          <w:szCs w:val="24"/>
        </w:rPr>
        <w:t xml:space="preserve"> dei PO vorranno trasmettere alla CE (cfr. Fiche 21). Nell’ambito del confronto con la CE, i costi e gli importi potranno, continua l’articolo, essere adeguati tenendo in debito conto le esperienze già maturate nel corso del periodo 2007-2013. </w:t>
      </w:r>
    </w:p>
    <w:p w:rsidR="00FD5546" w:rsidRDefault="00FD5546" w:rsidP="00D2339D">
      <w:pPr>
        <w:spacing w:after="0"/>
        <w:jc w:val="both"/>
        <w:rPr>
          <w:rFonts w:ascii="Times New Roman" w:hAnsi="Times New Roman"/>
          <w:sz w:val="24"/>
          <w:szCs w:val="24"/>
        </w:rPr>
      </w:pPr>
      <w:r>
        <w:rPr>
          <w:rFonts w:ascii="Times New Roman" w:hAnsi="Times New Roman"/>
          <w:sz w:val="24"/>
          <w:szCs w:val="24"/>
        </w:rPr>
        <w:t xml:space="preserve">Qualora i costi o gli importi semplificati siano oggetto di appositi atti delegati della CE, i controlli verteranno solo sul rispetto delle condizioni stabilite negli atti, non vi saranno quindi audit sul metodo di calcolo poiché la validità della metodologia e della base dati verrà affermata dalla Commissione stessa attraverso appunto l’emanazione dell’atto delegato. Si tratta di una possibilità non ancora ben definita e regolamentata, che sembra comunque finalizzata a superare ogni eventuale dubbio sull’applicazione delle semplificazioni. Facendo ricorso, infatti, all’art. 14.1 le semplificazioni oggetto dell’atto delegato della CE non saranno più controllate né </w:t>
      </w:r>
      <w:proofErr w:type="spellStart"/>
      <w:r>
        <w:rPr>
          <w:rFonts w:ascii="Times New Roman" w:hAnsi="Times New Roman"/>
          <w:sz w:val="24"/>
          <w:szCs w:val="24"/>
        </w:rPr>
        <w:t>dall’AdA</w:t>
      </w:r>
      <w:proofErr w:type="spellEnd"/>
      <w:r>
        <w:rPr>
          <w:rFonts w:ascii="Times New Roman" w:hAnsi="Times New Roman"/>
          <w:sz w:val="24"/>
          <w:szCs w:val="24"/>
        </w:rPr>
        <w:t xml:space="preserve"> del PO né dai servizi di audit della Commissione.</w:t>
      </w:r>
    </w:p>
    <w:p w:rsidR="00FD5546" w:rsidRPr="003F458C" w:rsidRDefault="00FD5546" w:rsidP="00D2339D">
      <w:pPr>
        <w:spacing w:after="0"/>
        <w:jc w:val="both"/>
        <w:rPr>
          <w:rFonts w:ascii="Times New Roman" w:hAnsi="Times New Roman"/>
          <w:sz w:val="20"/>
          <w:szCs w:val="24"/>
        </w:rPr>
      </w:pPr>
    </w:p>
    <w:p w:rsidR="00FD5546" w:rsidRDefault="00FD5546" w:rsidP="00D2339D">
      <w:pPr>
        <w:spacing w:after="0"/>
        <w:jc w:val="both"/>
        <w:rPr>
          <w:rFonts w:ascii="Times New Roman" w:hAnsi="Times New Roman"/>
          <w:sz w:val="24"/>
          <w:szCs w:val="24"/>
        </w:rPr>
      </w:pPr>
      <w:r>
        <w:rPr>
          <w:rFonts w:ascii="Times New Roman" w:hAnsi="Times New Roman"/>
          <w:sz w:val="24"/>
          <w:szCs w:val="24"/>
        </w:rPr>
        <w:t xml:space="preserve">Al secondo comma dell’art. 14, in linea con l’art. 67 par. 5 </w:t>
      </w:r>
      <w:proofErr w:type="spellStart"/>
      <w:r>
        <w:rPr>
          <w:rFonts w:ascii="Times New Roman" w:hAnsi="Times New Roman"/>
          <w:sz w:val="24"/>
          <w:szCs w:val="24"/>
        </w:rPr>
        <w:t>lett</w:t>
      </w:r>
      <w:proofErr w:type="spellEnd"/>
      <w:r>
        <w:rPr>
          <w:rFonts w:ascii="Times New Roman" w:hAnsi="Times New Roman"/>
          <w:sz w:val="24"/>
          <w:szCs w:val="24"/>
        </w:rPr>
        <w:t xml:space="preserve">. d) del </w:t>
      </w:r>
      <w:r w:rsidR="003F458C">
        <w:rPr>
          <w:rFonts w:ascii="Times New Roman" w:hAnsi="Times New Roman"/>
          <w:sz w:val="24"/>
          <w:szCs w:val="24"/>
        </w:rPr>
        <w:t>R</w:t>
      </w:r>
      <w:r>
        <w:rPr>
          <w:rFonts w:ascii="Times New Roman" w:hAnsi="Times New Roman"/>
          <w:sz w:val="24"/>
          <w:szCs w:val="24"/>
        </w:rPr>
        <w:t>eg. RDC, il legislatore definisce un tasso forfettario per il riconoscimento dei costi, in particolare per il FSE è possibile riconoscere i restanti costi ammissibili di un’operazione sulla base di un tasso forfettario sino al 40% delle spese dirette di personale ammissibili. Anche in tal caso, come nel caso dei costi indiretti fino al 15% delle spese dirette di personale, non è necessario per l’</w:t>
      </w:r>
      <w:proofErr w:type="spellStart"/>
      <w:r>
        <w:rPr>
          <w:rFonts w:ascii="Times New Roman" w:hAnsi="Times New Roman"/>
          <w:sz w:val="24"/>
          <w:szCs w:val="24"/>
        </w:rPr>
        <w:t>AdG</w:t>
      </w:r>
      <w:proofErr w:type="spellEnd"/>
      <w:r>
        <w:rPr>
          <w:rFonts w:ascii="Times New Roman" w:hAnsi="Times New Roman"/>
          <w:sz w:val="24"/>
          <w:szCs w:val="24"/>
        </w:rPr>
        <w:t xml:space="preserve"> eseguire calcoli per determinare il tasso applicabile</w:t>
      </w:r>
      <w:r w:rsidR="00B21FC5">
        <w:rPr>
          <w:rFonts w:ascii="Times New Roman" w:hAnsi="Times New Roman"/>
          <w:sz w:val="24"/>
          <w:szCs w:val="24"/>
        </w:rPr>
        <w:t>:</w:t>
      </w:r>
      <w:r>
        <w:rPr>
          <w:rFonts w:ascii="Times New Roman" w:hAnsi="Times New Roman"/>
          <w:sz w:val="24"/>
          <w:szCs w:val="24"/>
        </w:rPr>
        <w:t xml:space="preserve"> è sufficiente, infatti, che questo sia inferiore o uguale a 40%.</w:t>
      </w:r>
    </w:p>
    <w:p w:rsidR="00FD5546" w:rsidRPr="003F458C" w:rsidRDefault="00FD5546" w:rsidP="00D2339D">
      <w:pPr>
        <w:spacing w:after="0"/>
        <w:jc w:val="both"/>
        <w:rPr>
          <w:rFonts w:ascii="Times New Roman" w:hAnsi="Times New Roman"/>
          <w:sz w:val="20"/>
          <w:szCs w:val="24"/>
        </w:rPr>
      </w:pPr>
    </w:p>
    <w:p w:rsidR="00FD5546" w:rsidRDefault="00FD5546" w:rsidP="00D2339D">
      <w:pPr>
        <w:spacing w:after="0"/>
        <w:jc w:val="both"/>
        <w:rPr>
          <w:rFonts w:ascii="Times New Roman" w:hAnsi="Times New Roman"/>
          <w:sz w:val="24"/>
          <w:szCs w:val="24"/>
        </w:rPr>
      </w:pPr>
      <w:r>
        <w:rPr>
          <w:rFonts w:ascii="Times New Roman" w:hAnsi="Times New Roman"/>
          <w:sz w:val="24"/>
          <w:szCs w:val="24"/>
        </w:rPr>
        <w:t>Al terzo comma, poi, si precisa che in caso il sostegno pubblico ad un’operazione non superi i 100.000 euro, le tabelle di costo standard, i tassi forfettari oppure le somme forfettarie potranno essere stabilite caso per caso</w:t>
      </w:r>
      <w:r w:rsidR="00B21FC5">
        <w:rPr>
          <w:rFonts w:ascii="Times New Roman" w:hAnsi="Times New Roman"/>
          <w:sz w:val="24"/>
          <w:szCs w:val="24"/>
        </w:rPr>
        <w:t>,</w:t>
      </w:r>
      <w:r>
        <w:rPr>
          <w:rFonts w:ascii="Times New Roman" w:hAnsi="Times New Roman"/>
          <w:sz w:val="24"/>
          <w:szCs w:val="24"/>
        </w:rPr>
        <w:t xml:space="preserve"> facendo riferimento a un progetto di bilancio convenuto ex ante da parte dell’</w:t>
      </w:r>
      <w:proofErr w:type="spellStart"/>
      <w:r>
        <w:rPr>
          <w:rFonts w:ascii="Times New Roman" w:hAnsi="Times New Roman"/>
          <w:sz w:val="24"/>
          <w:szCs w:val="24"/>
        </w:rPr>
        <w:t>AdG</w:t>
      </w:r>
      <w:proofErr w:type="spellEnd"/>
      <w:r>
        <w:rPr>
          <w:rFonts w:ascii="Times New Roman" w:hAnsi="Times New Roman"/>
          <w:sz w:val="24"/>
          <w:szCs w:val="24"/>
        </w:rPr>
        <w:t xml:space="preserve">. Si tratta, probabilmente di un ulteriore metodo per la definizione dei costi semplificati che si affianca a quelli già previsti all’art. 67 par. 5. </w:t>
      </w:r>
      <w:proofErr w:type="spellStart"/>
      <w:r>
        <w:rPr>
          <w:rFonts w:ascii="Times New Roman" w:hAnsi="Times New Roman"/>
          <w:sz w:val="24"/>
          <w:szCs w:val="24"/>
        </w:rPr>
        <w:t>lett</w:t>
      </w:r>
      <w:proofErr w:type="spellEnd"/>
      <w:r>
        <w:rPr>
          <w:rFonts w:ascii="Times New Roman" w:hAnsi="Times New Roman"/>
          <w:sz w:val="24"/>
          <w:szCs w:val="24"/>
        </w:rPr>
        <w:t>. a-d). In effetti, alla lettera e) dello stesso art</w:t>
      </w:r>
      <w:r w:rsidR="003F458C">
        <w:rPr>
          <w:rFonts w:ascii="Times New Roman" w:hAnsi="Times New Roman"/>
          <w:sz w:val="24"/>
          <w:szCs w:val="24"/>
        </w:rPr>
        <w:t>.</w:t>
      </w:r>
      <w:r>
        <w:rPr>
          <w:rFonts w:ascii="Times New Roman" w:hAnsi="Times New Roman"/>
          <w:sz w:val="24"/>
          <w:szCs w:val="24"/>
        </w:rPr>
        <w:t xml:space="preserve"> 67 par. 5 è previsto che gli importi siano stabili</w:t>
      </w:r>
      <w:r w:rsidR="00B21FC5">
        <w:rPr>
          <w:rFonts w:ascii="Times New Roman" w:hAnsi="Times New Roman"/>
          <w:sz w:val="24"/>
          <w:szCs w:val="24"/>
        </w:rPr>
        <w:t>ti</w:t>
      </w:r>
      <w:r>
        <w:rPr>
          <w:rFonts w:ascii="Times New Roman" w:hAnsi="Times New Roman"/>
          <w:sz w:val="24"/>
          <w:szCs w:val="24"/>
        </w:rPr>
        <w:t xml:space="preserve"> attraverso metodi specifici conformemente alle norme specifiche di un fondo.</w:t>
      </w:r>
    </w:p>
    <w:p w:rsidR="00FD5546" w:rsidRPr="003F458C" w:rsidRDefault="00FD5546" w:rsidP="00D2339D">
      <w:pPr>
        <w:spacing w:after="0"/>
        <w:jc w:val="both"/>
        <w:rPr>
          <w:rFonts w:ascii="Times New Roman" w:hAnsi="Times New Roman"/>
          <w:sz w:val="20"/>
          <w:szCs w:val="24"/>
        </w:rPr>
      </w:pPr>
    </w:p>
    <w:p w:rsidR="00FD5546" w:rsidRDefault="00FD5546" w:rsidP="00D2339D">
      <w:pPr>
        <w:spacing w:after="0"/>
        <w:jc w:val="both"/>
        <w:rPr>
          <w:rFonts w:ascii="Times New Roman" w:hAnsi="Times New Roman"/>
          <w:sz w:val="24"/>
          <w:szCs w:val="24"/>
        </w:rPr>
      </w:pPr>
      <w:r>
        <w:rPr>
          <w:rFonts w:ascii="Times New Roman" w:hAnsi="Times New Roman"/>
          <w:sz w:val="24"/>
          <w:szCs w:val="24"/>
        </w:rPr>
        <w:t xml:space="preserve">In ultimo, al </w:t>
      </w:r>
      <w:r w:rsidR="00B21FC5">
        <w:rPr>
          <w:rFonts w:ascii="Times New Roman" w:hAnsi="Times New Roman"/>
          <w:sz w:val="24"/>
          <w:szCs w:val="24"/>
        </w:rPr>
        <w:t xml:space="preserve">quarto </w:t>
      </w:r>
      <w:r>
        <w:rPr>
          <w:rFonts w:ascii="Times New Roman" w:hAnsi="Times New Roman"/>
          <w:sz w:val="24"/>
          <w:szCs w:val="24"/>
        </w:rPr>
        <w:t>comma de</w:t>
      </w:r>
      <w:r w:rsidR="00B21FC5">
        <w:rPr>
          <w:rFonts w:ascii="Times New Roman" w:hAnsi="Times New Roman"/>
          <w:sz w:val="24"/>
          <w:szCs w:val="24"/>
        </w:rPr>
        <w:t xml:space="preserve">ll’art. 14 del </w:t>
      </w:r>
      <w:r w:rsidR="003F458C">
        <w:rPr>
          <w:rFonts w:ascii="Times New Roman" w:hAnsi="Times New Roman"/>
          <w:sz w:val="24"/>
          <w:szCs w:val="24"/>
        </w:rPr>
        <w:t>R</w:t>
      </w:r>
      <w:r w:rsidR="00B21FC5">
        <w:rPr>
          <w:rFonts w:ascii="Times New Roman" w:hAnsi="Times New Roman"/>
          <w:sz w:val="24"/>
          <w:szCs w:val="24"/>
        </w:rPr>
        <w:t>egolamento FSE,</w:t>
      </w:r>
      <w:r>
        <w:rPr>
          <w:rFonts w:ascii="Times New Roman" w:hAnsi="Times New Roman"/>
          <w:sz w:val="24"/>
          <w:szCs w:val="24"/>
        </w:rPr>
        <w:t xml:space="preserve"> il legislatore pone un obbligo</w:t>
      </w:r>
      <w:r w:rsidR="00B21FC5" w:rsidRPr="00B21FC5">
        <w:rPr>
          <w:rFonts w:ascii="Times New Roman" w:hAnsi="Times New Roman"/>
          <w:sz w:val="24"/>
          <w:szCs w:val="24"/>
        </w:rPr>
        <w:t xml:space="preserve"> </w:t>
      </w:r>
      <w:r w:rsidR="00B21FC5">
        <w:rPr>
          <w:rFonts w:ascii="Times New Roman" w:hAnsi="Times New Roman"/>
          <w:sz w:val="24"/>
          <w:szCs w:val="24"/>
        </w:rPr>
        <w:t>per la prima volta in materia di semplificazione dei costi</w:t>
      </w:r>
      <w:r>
        <w:rPr>
          <w:rFonts w:ascii="Times New Roman" w:hAnsi="Times New Roman"/>
          <w:sz w:val="24"/>
          <w:szCs w:val="24"/>
        </w:rPr>
        <w:t>. In particolare, qualora il sostegno pubblico di sovvenzioni o azioni rimborsabili non superi i 50.000 euro, sarà necessario riconoscere i costi attraverso un’opzione di semplificazione, cioè sulla base di tabelle standard di costo, oppure di importi forfettari oppure ancora di tassi forfettari. In quest’ultimo caso, le sole categorie di costi utilizzate per calcolare il tasso potranno essere riconosciute sulla base del principio dei costi reali (es. costi indiretti fino al 15% dei costi diretti del personale, i costi del personale possono essere riconosciuti a costi reali).</w:t>
      </w:r>
    </w:p>
    <w:p w:rsidR="00FD5546" w:rsidRDefault="00FD5546" w:rsidP="00D2339D">
      <w:pPr>
        <w:spacing w:after="0"/>
        <w:jc w:val="both"/>
        <w:rPr>
          <w:rFonts w:ascii="Times New Roman" w:hAnsi="Times New Roman"/>
          <w:sz w:val="24"/>
          <w:szCs w:val="24"/>
        </w:rPr>
      </w:pPr>
      <w:r>
        <w:rPr>
          <w:rFonts w:ascii="Times New Roman" w:hAnsi="Times New Roman"/>
          <w:sz w:val="24"/>
          <w:szCs w:val="24"/>
        </w:rPr>
        <w:t xml:space="preserve">All’obbligo di utilizzare opzioni di semplificazione, fanno eccezione le sole operazioni che ricevono il sostegno nell’ambito della normativa sugli aiuti di stato. </w:t>
      </w:r>
    </w:p>
    <w:p w:rsidR="00FD5546" w:rsidRPr="003F458C" w:rsidRDefault="00FD5546" w:rsidP="00D2339D">
      <w:pPr>
        <w:spacing w:after="0"/>
        <w:jc w:val="both"/>
        <w:rPr>
          <w:rFonts w:ascii="Times New Roman" w:hAnsi="Times New Roman"/>
          <w:sz w:val="20"/>
          <w:szCs w:val="24"/>
        </w:rPr>
      </w:pPr>
      <w:bookmarkStart w:id="0" w:name="_GoBack"/>
      <w:bookmarkEnd w:id="0"/>
    </w:p>
    <w:p w:rsidR="00FD5546" w:rsidRPr="00376CBB" w:rsidRDefault="00B21FC5" w:rsidP="00D2339D">
      <w:pPr>
        <w:spacing w:after="0"/>
        <w:jc w:val="both"/>
        <w:rPr>
          <w:rFonts w:ascii="Times New Roman" w:hAnsi="Times New Roman"/>
          <w:sz w:val="24"/>
          <w:szCs w:val="24"/>
        </w:rPr>
      </w:pPr>
      <w:r>
        <w:rPr>
          <w:rFonts w:ascii="Times New Roman" w:hAnsi="Times New Roman"/>
          <w:sz w:val="24"/>
          <w:szCs w:val="24"/>
        </w:rPr>
        <w:t>S</w:t>
      </w:r>
      <w:r w:rsidRPr="00376CBB">
        <w:rPr>
          <w:rFonts w:ascii="Times New Roman" w:hAnsi="Times New Roman"/>
          <w:sz w:val="24"/>
          <w:szCs w:val="24"/>
        </w:rPr>
        <w:t xml:space="preserve">i segnalano </w:t>
      </w:r>
      <w:r>
        <w:rPr>
          <w:rFonts w:ascii="Times New Roman" w:hAnsi="Times New Roman"/>
          <w:sz w:val="24"/>
          <w:szCs w:val="24"/>
        </w:rPr>
        <w:t>i</w:t>
      </w:r>
      <w:r w:rsidR="00FD5546" w:rsidRPr="00376CBB">
        <w:rPr>
          <w:rFonts w:ascii="Times New Roman" w:hAnsi="Times New Roman"/>
          <w:sz w:val="24"/>
          <w:szCs w:val="24"/>
        </w:rPr>
        <w:t>n</w:t>
      </w:r>
      <w:r>
        <w:rPr>
          <w:rFonts w:ascii="Times New Roman" w:hAnsi="Times New Roman"/>
          <w:sz w:val="24"/>
          <w:szCs w:val="24"/>
        </w:rPr>
        <w:t>fine,</w:t>
      </w:r>
      <w:r w:rsidR="00FD5546" w:rsidRPr="00376CBB">
        <w:rPr>
          <w:rFonts w:ascii="Times New Roman" w:hAnsi="Times New Roman"/>
          <w:sz w:val="24"/>
          <w:szCs w:val="24"/>
        </w:rPr>
        <w:t xml:space="preserve"> </w:t>
      </w:r>
      <w:r w:rsidR="00FD5546">
        <w:rPr>
          <w:rFonts w:ascii="Times New Roman" w:hAnsi="Times New Roman"/>
          <w:sz w:val="24"/>
          <w:szCs w:val="24"/>
        </w:rPr>
        <w:t xml:space="preserve">anche se trattati in altri approfondimenti, </w:t>
      </w:r>
      <w:r w:rsidRPr="00376CBB">
        <w:rPr>
          <w:rFonts w:ascii="Times New Roman" w:hAnsi="Times New Roman"/>
          <w:sz w:val="24"/>
          <w:szCs w:val="24"/>
        </w:rPr>
        <w:t xml:space="preserve">i seguenti </w:t>
      </w:r>
      <w:r>
        <w:rPr>
          <w:rFonts w:ascii="Times New Roman" w:hAnsi="Times New Roman"/>
          <w:sz w:val="24"/>
          <w:szCs w:val="24"/>
        </w:rPr>
        <w:t xml:space="preserve">articoli del regolamento 1303/2013, </w:t>
      </w:r>
      <w:r w:rsidR="00FD5546" w:rsidRPr="00376CBB">
        <w:rPr>
          <w:rFonts w:ascii="Times New Roman" w:hAnsi="Times New Roman"/>
          <w:sz w:val="24"/>
          <w:szCs w:val="24"/>
        </w:rPr>
        <w:t>al fine di offrire una sintesi delle disposizioni regolamentari che trattano la semplificazione dei costi:</w:t>
      </w:r>
    </w:p>
    <w:p w:rsidR="00FD5546" w:rsidRPr="00376CBB" w:rsidRDefault="00FD5546" w:rsidP="003F458C">
      <w:pPr>
        <w:numPr>
          <w:ilvl w:val="0"/>
          <w:numId w:val="1"/>
        </w:numPr>
        <w:tabs>
          <w:tab w:val="clear" w:pos="720"/>
          <w:tab w:val="num" w:pos="284"/>
        </w:tabs>
        <w:spacing w:after="0"/>
        <w:ind w:left="284" w:hanging="284"/>
        <w:jc w:val="both"/>
        <w:rPr>
          <w:rFonts w:ascii="Times New Roman" w:hAnsi="Times New Roman"/>
          <w:sz w:val="24"/>
          <w:szCs w:val="24"/>
        </w:rPr>
      </w:pPr>
      <w:r w:rsidRPr="00376CBB">
        <w:rPr>
          <w:rFonts w:ascii="Times New Roman" w:hAnsi="Times New Roman"/>
          <w:sz w:val="24"/>
          <w:szCs w:val="24"/>
        </w:rPr>
        <w:lastRenderedPageBreak/>
        <w:t>art. 125 “Funzioni dell’Autorità di Gestione”, per la prima volta viene chiarito che l’</w:t>
      </w:r>
      <w:proofErr w:type="spellStart"/>
      <w:r w:rsidRPr="00376CBB">
        <w:rPr>
          <w:rFonts w:ascii="Times New Roman" w:hAnsi="Times New Roman"/>
          <w:sz w:val="24"/>
          <w:szCs w:val="24"/>
        </w:rPr>
        <w:t>AdG</w:t>
      </w:r>
      <w:proofErr w:type="spellEnd"/>
      <w:r w:rsidRPr="00376CBB">
        <w:rPr>
          <w:rFonts w:ascii="Times New Roman" w:hAnsi="Times New Roman"/>
          <w:sz w:val="24"/>
          <w:szCs w:val="24"/>
        </w:rPr>
        <w:t xml:space="preserve"> deve garantire che i beneficiari mantengano una contabilità separata quando sono coinvolti nell’attuazione di operazioni rimborsate sulla base di costi ammissibili effettivamente sostenuti, lasciando presupporre che tale requisito non debba essere presente in caso di semplificazione dei costi.</w:t>
      </w:r>
    </w:p>
    <w:p w:rsidR="00FD5546" w:rsidRDefault="00FD5546" w:rsidP="003F458C">
      <w:pPr>
        <w:numPr>
          <w:ilvl w:val="0"/>
          <w:numId w:val="1"/>
        </w:numPr>
        <w:tabs>
          <w:tab w:val="clear" w:pos="720"/>
          <w:tab w:val="num" w:pos="284"/>
        </w:tabs>
        <w:spacing w:after="0"/>
        <w:ind w:left="284" w:hanging="284"/>
        <w:jc w:val="both"/>
        <w:rPr>
          <w:rFonts w:ascii="Times New Roman" w:hAnsi="Times New Roman"/>
          <w:sz w:val="24"/>
          <w:szCs w:val="24"/>
        </w:rPr>
      </w:pPr>
      <w:r>
        <w:rPr>
          <w:rFonts w:ascii="Times New Roman" w:hAnsi="Times New Roman"/>
          <w:sz w:val="24"/>
          <w:szCs w:val="24"/>
        </w:rPr>
        <w:t>art. 65 “Ammissibilità della spesa”, dispone che in caso di costi rimborsati attraverso le opzioni di semplificazione, le azioni che costituiscono la base per il rimborso devono essere svolte tra il 1 gennaio 2014 (o 1 settembre 2013 in caso di IOG) e il 31 dicembre 2023.</w:t>
      </w:r>
    </w:p>
    <w:p w:rsidR="00FD5546" w:rsidRDefault="00FD5546" w:rsidP="003F458C">
      <w:pPr>
        <w:numPr>
          <w:ilvl w:val="0"/>
          <w:numId w:val="1"/>
        </w:numPr>
        <w:tabs>
          <w:tab w:val="clear" w:pos="720"/>
          <w:tab w:val="num" w:pos="284"/>
        </w:tabs>
        <w:spacing w:after="0"/>
        <w:ind w:left="284" w:hanging="284"/>
        <w:jc w:val="both"/>
        <w:rPr>
          <w:rFonts w:ascii="Times New Roman" w:hAnsi="Times New Roman"/>
          <w:sz w:val="24"/>
          <w:szCs w:val="24"/>
        </w:rPr>
      </w:pPr>
      <w:r w:rsidRPr="00985B6D">
        <w:rPr>
          <w:rFonts w:ascii="Times New Roman" w:hAnsi="Times New Roman"/>
          <w:sz w:val="24"/>
          <w:szCs w:val="24"/>
        </w:rPr>
        <w:t>art. 77</w:t>
      </w:r>
      <w:r>
        <w:t xml:space="preserve"> “</w:t>
      </w:r>
      <w:r w:rsidRPr="00985B6D">
        <w:rPr>
          <w:rFonts w:ascii="Times New Roman" w:hAnsi="Times New Roman"/>
          <w:sz w:val="24"/>
          <w:szCs w:val="24"/>
        </w:rPr>
        <w:t>Norme comuni per i pagamenti”, precisa che per le forme di sostegno di cui all'articolo 67, paragrafo 1, primo comma, lettere b), c) e d), e agli articoli 68 e 69, i costi calcolati sulla base applicabile sono considerati spese ammissibili.</w:t>
      </w:r>
    </w:p>
    <w:p w:rsidR="00FD5546" w:rsidRPr="00985B6D" w:rsidRDefault="00FD5546" w:rsidP="003F458C">
      <w:pPr>
        <w:numPr>
          <w:ilvl w:val="0"/>
          <w:numId w:val="1"/>
        </w:numPr>
        <w:tabs>
          <w:tab w:val="clear" w:pos="720"/>
          <w:tab w:val="num" w:pos="284"/>
        </w:tabs>
        <w:spacing w:after="0"/>
        <w:ind w:left="284" w:hanging="284"/>
        <w:jc w:val="both"/>
        <w:rPr>
          <w:rFonts w:ascii="Times New Roman" w:hAnsi="Times New Roman"/>
          <w:sz w:val="24"/>
          <w:szCs w:val="24"/>
        </w:rPr>
      </w:pPr>
      <w:r>
        <w:rPr>
          <w:rFonts w:ascii="Times New Roman" w:hAnsi="Times New Roman"/>
          <w:sz w:val="24"/>
          <w:szCs w:val="24"/>
        </w:rPr>
        <w:t>art. 131 “Domande di pagamento”, dispone che l</w:t>
      </w:r>
      <w:r w:rsidRPr="00985B6D">
        <w:rPr>
          <w:rFonts w:ascii="Times New Roman" w:hAnsi="Times New Roman"/>
          <w:sz w:val="24"/>
          <w:szCs w:val="24"/>
        </w:rPr>
        <w:t>e spese ammissibili contenute in una domanda di pagamento sono giustificate da fatture quietanzate o da documenti contabili di valore probatorio equivalente, salvo per le forme di sostegno di cui all</w:t>
      </w:r>
      <w:r w:rsidR="003F458C">
        <w:rPr>
          <w:rFonts w:ascii="Times New Roman" w:hAnsi="Times New Roman"/>
          <w:sz w:val="24"/>
          <w:szCs w:val="24"/>
        </w:rPr>
        <w:t>’</w:t>
      </w:r>
      <w:r w:rsidRPr="00985B6D">
        <w:rPr>
          <w:rFonts w:ascii="Times New Roman" w:hAnsi="Times New Roman"/>
          <w:sz w:val="24"/>
          <w:szCs w:val="24"/>
        </w:rPr>
        <w:t>art</w:t>
      </w:r>
      <w:r w:rsidR="003F458C">
        <w:rPr>
          <w:rFonts w:ascii="Times New Roman" w:hAnsi="Times New Roman"/>
          <w:sz w:val="24"/>
          <w:szCs w:val="24"/>
        </w:rPr>
        <w:t>.</w:t>
      </w:r>
      <w:r w:rsidRPr="00985B6D">
        <w:rPr>
          <w:rFonts w:ascii="Times New Roman" w:hAnsi="Times New Roman"/>
          <w:sz w:val="24"/>
          <w:szCs w:val="24"/>
        </w:rPr>
        <w:t xml:space="preserve"> 67, par</w:t>
      </w:r>
      <w:r w:rsidR="003F458C">
        <w:rPr>
          <w:rFonts w:ascii="Times New Roman" w:hAnsi="Times New Roman"/>
          <w:sz w:val="24"/>
          <w:szCs w:val="24"/>
        </w:rPr>
        <w:t>.</w:t>
      </w:r>
      <w:r w:rsidRPr="00985B6D">
        <w:rPr>
          <w:rFonts w:ascii="Times New Roman" w:hAnsi="Times New Roman"/>
          <w:sz w:val="24"/>
          <w:szCs w:val="24"/>
        </w:rPr>
        <w:t xml:space="preserve"> 1, primo comma, </w:t>
      </w:r>
      <w:proofErr w:type="spellStart"/>
      <w:r w:rsidRPr="00985B6D">
        <w:rPr>
          <w:rFonts w:ascii="Times New Roman" w:hAnsi="Times New Roman"/>
          <w:sz w:val="24"/>
          <w:szCs w:val="24"/>
        </w:rPr>
        <w:t>lett</w:t>
      </w:r>
      <w:proofErr w:type="spellEnd"/>
      <w:r w:rsidR="003F458C">
        <w:rPr>
          <w:rFonts w:ascii="Times New Roman" w:hAnsi="Times New Roman"/>
          <w:sz w:val="24"/>
          <w:szCs w:val="24"/>
        </w:rPr>
        <w:t>.</w:t>
      </w:r>
      <w:r w:rsidRPr="00985B6D">
        <w:rPr>
          <w:rFonts w:ascii="Times New Roman" w:hAnsi="Times New Roman"/>
          <w:sz w:val="24"/>
          <w:szCs w:val="24"/>
        </w:rPr>
        <w:t xml:space="preserve"> b), c) e d), all</w:t>
      </w:r>
      <w:r w:rsidR="003F458C">
        <w:rPr>
          <w:rFonts w:ascii="Times New Roman" w:hAnsi="Times New Roman"/>
          <w:sz w:val="24"/>
          <w:szCs w:val="24"/>
        </w:rPr>
        <w:t>’</w:t>
      </w:r>
      <w:r w:rsidRPr="00985B6D">
        <w:rPr>
          <w:rFonts w:ascii="Times New Roman" w:hAnsi="Times New Roman"/>
          <w:sz w:val="24"/>
          <w:szCs w:val="24"/>
        </w:rPr>
        <w:t>art</w:t>
      </w:r>
      <w:r w:rsidR="003F458C">
        <w:rPr>
          <w:rFonts w:ascii="Times New Roman" w:hAnsi="Times New Roman"/>
          <w:sz w:val="24"/>
          <w:szCs w:val="24"/>
        </w:rPr>
        <w:t>.</w:t>
      </w:r>
      <w:r w:rsidRPr="00985B6D">
        <w:rPr>
          <w:rFonts w:ascii="Times New Roman" w:hAnsi="Times New Roman"/>
          <w:sz w:val="24"/>
          <w:szCs w:val="24"/>
        </w:rPr>
        <w:t xml:space="preserve"> 68, all</w:t>
      </w:r>
      <w:r w:rsidR="003F458C">
        <w:rPr>
          <w:rFonts w:ascii="Times New Roman" w:hAnsi="Times New Roman"/>
          <w:sz w:val="24"/>
          <w:szCs w:val="24"/>
        </w:rPr>
        <w:t>’</w:t>
      </w:r>
      <w:r w:rsidRPr="00985B6D">
        <w:rPr>
          <w:rFonts w:ascii="Times New Roman" w:hAnsi="Times New Roman"/>
          <w:sz w:val="24"/>
          <w:szCs w:val="24"/>
        </w:rPr>
        <w:t>art</w:t>
      </w:r>
      <w:r w:rsidR="003F458C">
        <w:rPr>
          <w:rFonts w:ascii="Times New Roman" w:hAnsi="Times New Roman"/>
          <w:sz w:val="24"/>
          <w:szCs w:val="24"/>
        </w:rPr>
        <w:t>.</w:t>
      </w:r>
      <w:r w:rsidRPr="00985B6D">
        <w:rPr>
          <w:rFonts w:ascii="Times New Roman" w:hAnsi="Times New Roman"/>
          <w:sz w:val="24"/>
          <w:szCs w:val="24"/>
        </w:rPr>
        <w:t xml:space="preserve"> 69, par</w:t>
      </w:r>
      <w:r w:rsidR="003F458C">
        <w:rPr>
          <w:rFonts w:ascii="Times New Roman" w:hAnsi="Times New Roman"/>
          <w:sz w:val="24"/>
          <w:szCs w:val="24"/>
        </w:rPr>
        <w:t>.</w:t>
      </w:r>
      <w:r w:rsidRPr="00985B6D">
        <w:rPr>
          <w:rFonts w:ascii="Times New Roman" w:hAnsi="Times New Roman"/>
          <w:sz w:val="24"/>
          <w:szCs w:val="24"/>
        </w:rPr>
        <w:t xml:space="preserve"> 1, e all</w:t>
      </w:r>
      <w:r w:rsidR="003F458C">
        <w:rPr>
          <w:rFonts w:ascii="Times New Roman" w:hAnsi="Times New Roman"/>
          <w:sz w:val="24"/>
          <w:szCs w:val="24"/>
        </w:rPr>
        <w:t>’</w:t>
      </w:r>
      <w:r w:rsidRPr="00985B6D">
        <w:rPr>
          <w:rFonts w:ascii="Times New Roman" w:hAnsi="Times New Roman"/>
          <w:sz w:val="24"/>
          <w:szCs w:val="24"/>
        </w:rPr>
        <w:t>art</w:t>
      </w:r>
      <w:r w:rsidR="003F458C">
        <w:rPr>
          <w:rFonts w:ascii="Times New Roman" w:hAnsi="Times New Roman"/>
          <w:sz w:val="24"/>
          <w:szCs w:val="24"/>
        </w:rPr>
        <w:t>.</w:t>
      </w:r>
      <w:r w:rsidRPr="00985B6D">
        <w:rPr>
          <w:rFonts w:ascii="Times New Roman" w:hAnsi="Times New Roman"/>
          <w:sz w:val="24"/>
          <w:szCs w:val="24"/>
        </w:rPr>
        <w:t xml:space="preserve"> 109 del presente </w:t>
      </w:r>
      <w:r w:rsidR="003F458C">
        <w:rPr>
          <w:rFonts w:ascii="Times New Roman" w:hAnsi="Times New Roman"/>
          <w:sz w:val="24"/>
          <w:szCs w:val="24"/>
        </w:rPr>
        <w:t>R</w:t>
      </w:r>
      <w:r w:rsidRPr="00985B6D">
        <w:rPr>
          <w:rFonts w:ascii="Times New Roman" w:hAnsi="Times New Roman"/>
          <w:sz w:val="24"/>
          <w:szCs w:val="24"/>
        </w:rPr>
        <w:t>egolamento e all</w:t>
      </w:r>
      <w:r w:rsidR="003F458C">
        <w:rPr>
          <w:rFonts w:ascii="Times New Roman" w:hAnsi="Times New Roman"/>
          <w:sz w:val="24"/>
          <w:szCs w:val="24"/>
        </w:rPr>
        <w:t>’</w:t>
      </w:r>
      <w:r w:rsidRPr="00985B6D">
        <w:rPr>
          <w:rFonts w:ascii="Times New Roman" w:hAnsi="Times New Roman"/>
          <w:sz w:val="24"/>
          <w:szCs w:val="24"/>
        </w:rPr>
        <w:t>art</w:t>
      </w:r>
      <w:r w:rsidR="003F458C">
        <w:rPr>
          <w:rFonts w:ascii="Times New Roman" w:hAnsi="Times New Roman"/>
          <w:sz w:val="24"/>
          <w:szCs w:val="24"/>
        </w:rPr>
        <w:t>.</w:t>
      </w:r>
      <w:r w:rsidRPr="00985B6D">
        <w:rPr>
          <w:rFonts w:ascii="Times New Roman" w:hAnsi="Times New Roman"/>
          <w:sz w:val="24"/>
          <w:szCs w:val="24"/>
        </w:rPr>
        <w:t xml:space="preserve"> 14 del </w:t>
      </w:r>
      <w:r w:rsidR="003F458C">
        <w:rPr>
          <w:rFonts w:ascii="Times New Roman" w:hAnsi="Times New Roman"/>
          <w:sz w:val="24"/>
          <w:szCs w:val="24"/>
        </w:rPr>
        <w:t>R</w:t>
      </w:r>
      <w:r w:rsidRPr="00985B6D">
        <w:rPr>
          <w:rFonts w:ascii="Times New Roman" w:hAnsi="Times New Roman"/>
          <w:sz w:val="24"/>
          <w:szCs w:val="24"/>
        </w:rPr>
        <w:t>egolamento FSE. Per tali forme di sostegno, gli importi indicati nella domanda di pagamento sono i costi calcolati sulla base applicabile.</w:t>
      </w:r>
    </w:p>
    <w:sectPr w:rsidR="00FD5546" w:rsidRPr="00985B6D" w:rsidSect="00502BD3">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2CF" w:rsidRDefault="006312CF" w:rsidP="00C44A07">
      <w:pPr>
        <w:spacing w:after="0" w:line="240" w:lineRule="auto"/>
      </w:pPr>
      <w:r>
        <w:separator/>
      </w:r>
    </w:p>
  </w:endnote>
  <w:endnote w:type="continuationSeparator" w:id="0">
    <w:p w:rsidR="006312CF" w:rsidRDefault="006312CF" w:rsidP="00C44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UAlbertina">
    <w:altName w:val="EU 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546" w:rsidRDefault="00FD5546" w:rsidP="008318A6">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FD5546" w:rsidRDefault="00FD5546" w:rsidP="000E01CA">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546" w:rsidRDefault="00FD5546" w:rsidP="008318A6">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3F458C">
      <w:rPr>
        <w:rStyle w:val="Numeropagina"/>
        <w:noProof/>
      </w:rPr>
      <w:t>8</w:t>
    </w:r>
    <w:r>
      <w:rPr>
        <w:rStyle w:val="Numeropagina"/>
      </w:rPr>
      <w:fldChar w:fldCharType="end"/>
    </w:r>
  </w:p>
  <w:p w:rsidR="00FD5546" w:rsidRDefault="00FD5546" w:rsidP="000E01CA">
    <w:pPr>
      <w:pStyle w:val="Pidipagina"/>
      <w:ind w:right="360"/>
      <w:jc w:val="right"/>
    </w:pPr>
  </w:p>
  <w:p w:rsidR="00FD5546" w:rsidRPr="003F458C" w:rsidRDefault="003F458C" w:rsidP="003F458C">
    <w:pPr>
      <w:pStyle w:val="Pidipagina"/>
      <w:jc w:val="center"/>
      <w:rPr>
        <w:rFonts w:ascii="Times New Roman" w:hAnsi="Times New Roman"/>
        <w:sz w:val="20"/>
      </w:rPr>
    </w:pPr>
    <w:r>
      <w:rPr>
        <w:rFonts w:ascii="Times New Roman" w:hAnsi="Times New Roman"/>
        <w:sz w:val="20"/>
      </w:rPr>
      <w:t xml:space="preserve">Tecnostruttura delle Regioni – </w:t>
    </w:r>
    <w:proofErr w:type="spellStart"/>
    <w:r>
      <w:rPr>
        <w:rFonts w:ascii="Times New Roman" w:hAnsi="Times New Roman"/>
        <w:sz w:val="20"/>
      </w:rPr>
      <w:t>All</w:t>
    </w:r>
    <w:proofErr w:type="spellEnd"/>
    <w:r>
      <w:rPr>
        <w:rFonts w:ascii="Times New Roman" w:hAnsi="Times New Roman"/>
        <w:sz w:val="20"/>
      </w:rPr>
      <w:t xml:space="preserve"> </w:t>
    </w:r>
    <w:r>
      <w:rPr>
        <w:rFonts w:ascii="Times New Roman" w:hAnsi="Times New Roman"/>
        <w:sz w:val="20"/>
      </w:rPr>
      <w:t>2</w:t>
    </w:r>
    <w:r>
      <w:rPr>
        <w:rFonts w:ascii="Times New Roman" w:hAnsi="Times New Roman"/>
        <w:sz w:val="20"/>
      </w:rPr>
      <w:t xml:space="preserve"> al </w:t>
    </w:r>
    <w:proofErr w:type="spellStart"/>
    <w:r>
      <w:rPr>
        <w:rFonts w:ascii="Times New Roman" w:hAnsi="Times New Roman"/>
        <w:sz w:val="20"/>
      </w:rPr>
      <w:t>prot</w:t>
    </w:r>
    <w:proofErr w:type="spellEnd"/>
    <w:r>
      <w:rPr>
        <w:rFonts w:ascii="Times New Roman" w:hAnsi="Times New Roman"/>
        <w:sz w:val="20"/>
      </w:rPr>
      <w:t>. 1286/FSE del 19 maggio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2CF" w:rsidRDefault="006312CF" w:rsidP="00C44A07">
      <w:pPr>
        <w:spacing w:after="0" w:line="240" w:lineRule="auto"/>
      </w:pPr>
      <w:r>
        <w:separator/>
      </w:r>
    </w:p>
  </w:footnote>
  <w:footnote w:type="continuationSeparator" w:id="0">
    <w:p w:rsidR="006312CF" w:rsidRDefault="006312CF" w:rsidP="00C44A07">
      <w:pPr>
        <w:spacing w:after="0" w:line="240" w:lineRule="auto"/>
      </w:pPr>
      <w:r>
        <w:continuationSeparator/>
      </w:r>
    </w:p>
  </w:footnote>
  <w:footnote w:id="1">
    <w:p w:rsidR="00FD5546" w:rsidRPr="003F458C" w:rsidRDefault="00FD5546" w:rsidP="003F458C">
      <w:pPr>
        <w:spacing w:after="0"/>
        <w:ind w:left="142" w:hanging="142"/>
        <w:jc w:val="both"/>
        <w:rPr>
          <w:rFonts w:ascii="Times New Roman" w:hAnsi="Times New Roman"/>
          <w:sz w:val="20"/>
          <w:szCs w:val="20"/>
        </w:rPr>
      </w:pPr>
      <w:r w:rsidRPr="00507875">
        <w:rPr>
          <w:rStyle w:val="Rimandonotaapidipagina"/>
          <w:sz w:val="20"/>
          <w:szCs w:val="20"/>
        </w:rPr>
        <w:footnoteRef/>
      </w:r>
      <w:r w:rsidRPr="00507875">
        <w:rPr>
          <w:sz w:val="20"/>
          <w:szCs w:val="20"/>
        </w:rPr>
        <w:t xml:space="preserve"> </w:t>
      </w:r>
      <w:r w:rsidRPr="00507875">
        <w:rPr>
          <w:rFonts w:ascii="Times New Roman" w:hAnsi="Times New Roman"/>
          <w:sz w:val="20"/>
          <w:szCs w:val="20"/>
        </w:rPr>
        <w:t>Per un eventuale approfondimento sulle possibili forme che il sostegno dei SIE può prendere, si rimanda al reg. finanziario n. 966/2012 il quale offre una macro distinzione tra gli appalti pubblici, le sovvenzioni, i premi e gli strumenti finanziari.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011670"/>
    <w:multiLevelType w:val="hybridMultilevel"/>
    <w:tmpl w:val="6A5493F6"/>
    <w:lvl w:ilvl="0" w:tplc="847049E4">
      <w:start w:val="5"/>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910"/>
    <w:rsid w:val="00000756"/>
    <w:rsid w:val="00020DD2"/>
    <w:rsid w:val="0002124C"/>
    <w:rsid w:val="00034483"/>
    <w:rsid w:val="00052FF5"/>
    <w:rsid w:val="00066D97"/>
    <w:rsid w:val="00093F01"/>
    <w:rsid w:val="0009780C"/>
    <w:rsid w:val="000A7D87"/>
    <w:rsid w:val="000C20B9"/>
    <w:rsid w:val="000E01CA"/>
    <w:rsid w:val="00111E7A"/>
    <w:rsid w:val="001337C7"/>
    <w:rsid w:val="00134910"/>
    <w:rsid w:val="00136CD8"/>
    <w:rsid w:val="001434D8"/>
    <w:rsid w:val="00143862"/>
    <w:rsid w:val="001639F9"/>
    <w:rsid w:val="00170DBB"/>
    <w:rsid w:val="00182124"/>
    <w:rsid w:val="001B0899"/>
    <w:rsid w:val="001C10CD"/>
    <w:rsid w:val="001C512F"/>
    <w:rsid w:val="001C64B7"/>
    <w:rsid w:val="001D021F"/>
    <w:rsid w:val="001D3236"/>
    <w:rsid w:val="001D6D61"/>
    <w:rsid w:val="001E6ECF"/>
    <w:rsid w:val="0021274C"/>
    <w:rsid w:val="002352B4"/>
    <w:rsid w:val="00244E5B"/>
    <w:rsid w:val="00251BDD"/>
    <w:rsid w:val="00251CE5"/>
    <w:rsid w:val="00253C39"/>
    <w:rsid w:val="00257DE9"/>
    <w:rsid w:val="002876C1"/>
    <w:rsid w:val="00292ECC"/>
    <w:rsid w:val="00296EA7"/>
    <w:rsid w:val="002A6BC5"/>
    <w:rsid w:val="002B2DCF"/>
    <w:rsid w:val="002F1464"/>
    <w:rsid w:val="00300E55"/>
    <w:rsid w:val="0034754C"/>
    <w:rsid w:val="00376CBB"/>
    <w:rsid w:val="003843B3"/>
    <w:rsid w:val="003B26DF"/>
    <w:rsid w:val="003B6FC5"/>
    <w:rsid w:val="003C4A6C"/>
    <w:rsid w:val="003D18A1"/>
    <w:rsid w:val="003F458C"/>
    <w:rsid w:val="004038E4"/>
    <w:rsid w:val="004040A1"/>
    <w:rsid w:val="00405AA1"/>
    <w:rsid w:val="004301B9"/>
    <w:rsid w:val="00432BA8"/>
    <w:rsid w:val="00441BF6"/>
    <w:rsid w:val="004442C3"/>
    <w:rsid w:val="00462A0D"/>
    <w:rsid w:val="00465997"/>
    <w:rsid w:val="004A30EC"/>
    <w:rsid w:val="004A5BE7"/>
    <w:rsid w:val="004D5F46"/>
    <w:rsid w:val="004D694D"/>
    <w:rsid w:val="004F28E6"/>
    <w:rsid w:val="004F2D5E"/>
    <w:rsid w:val="004F46FD"/>
    <w:rsid w:val="00502BD3"/>
    <w:rsid w:val="005049CF"/>
    <w:rsid w:val="00507875"/>
    <w:rsid w:val="005214BF"/>
    <w:rsid w:val="005253AF"/>
    <w:rsid w:val="0052728B"/>
    <w:rsid w:val="00541DF2"/>
    <w:rsid w:val="005428E8"/>
    <w:rsid w:val="00554E8F"/>
    <w:rsid w:val="005832A2"/>
    <w:rsid w:val="00591C4C"/>
    <w:rsid w:val="00596428"/>
    <w:rsid w:val="00596C18"/>
    <w:rsid w:val="005B4716"/>
    <w:rsid w:val="005B75DB"/>
    <w:rsid w:val="005C07FC"/>
    <w:rsid w:val="005C1366"/>
    <w:rsid w:val="005C4729"/>
    <w:rsid w:val="005D5570"/>
    <w:rsid w:val="005E3C0D"/>
    <w:rsid w:val="006071CB"/>
    <w:rsid w:val="00610BB6"/>
    <w:rsid w:val="00623879"/>
    <w:rsid w:val="006312CF"/>
    <w:rsid w:val="00635103"/>
    <w:rsid w:val="00671874"/>
    <w:rsid w:val="00673E8D"/>
    <w:rsid w:val="00686100"/>
    <w:rsid w:val="006A06C4"/>
    <w:rsid w:val="006B0BA0"/>
    <w:rsid w:val="006E19C5"/>
    <w:rsid w:val="00702560"/>
    <w:rsid w:val="00706185"/>
    <w:rsid w:val="00717812"/>
    <w:rsid w:val="00717A73"/>
    <w:rsid w:val="00733C79"/>
    <w:rsid w:val="007624A8"/>
    <w:rsid w:val="007665F2"/>
    <w:rsid w:val="00766B14"/>
    <w:rsid w:val="007742E6"/>
    <w:rsid w:val="007833D3"/>
    <w:rsid w:val="007A0A81"/>
    <w:rsid w:val="007A5E9A"/>
    <w:rsid w:val="007B60DD"/>
    <w:rsid w:val="007B7E2F"/>
    <w:rsid w:val="007C238D"/>
    <w:rsid w:val="007D36AC"/>
    <w:rsid w:val="007F1C70"/>
    <w:rsid w:val="007F7631"/>
    <w:rsid w:val="00826DD5"/>
    <w:rsid w:val="008318A6"/>
    <w:rsid w:val="00885EBF"/>
    <w:rsid w:val="008875D1"/>
    <w:rsid w:val="008C264D"/>
    <w:rsid w:val="008C2B04"/>
    <w:rsid w:val="008E578C"/>
    <w:rsid w:val="008F492B"/>
    <w:rsid w:val="00901BC7"/>
    <w:rsid w:val="00947282"/>
    <w:rsid w:val="00974098"/>
    <w:rsid w:val="00985B6D"/>
    <w:rsid w:val="009A2BFB"/>
    <w:rsid w:val="009A3719"/>
    <w:rsid w:val="009A49BE"/>
    <w:rsid w:val="009C0C3C"/>
    <w:rsid w:val="009D4542"/>
    <w:rsid w:val="009D60AA"/>
    <w:rsid w:val="009E0E38"/>
    <w:rsid w:val="00A01B86"/>
    <w:rsid w:val="00A342AB"/>
    <w:rsid w:val="00A43BCA"/>
    <w:rsid w:val="00A60E99"/>
    <w:rsid w:val="00A64F2A"/>
    <w:rsid w:val="00A70DD6"/>
    <w:rsid w:val="00A7158D"/>
    <w:rsid w:val="00A7469E"/>
    <w:rsid w:val="00A861B8"/>
    <w:rsid w:val="00AD3AA6"/>
    <w:rsid w:val="00B11ACD"/>
    <w:rsid w:val="00B21FC5"/>
    <w:rsid w:val="00B31973"/>
    <w:rsid w:val="00B33F27"/>
    <w:rsid w:val="00B66162"/>
    <w:rsid w:val="00B74993"/>
    <w:rsid w:val="00B86791"/>
    <w:rsid w:val="00BA5A85"/>
    <w:rsid w:val="00BA71DF"/>
    <w:rsid w:val="00BC026A"/>
    <w:rsid w:val="00BD1AA7"/>
    <w:rsid w:val="00BE3426"/>
    <w:rsid w:val="00BF2597"/>
    <w:rsid w:val="00C14527"/>
    <w:rsid w:val="00C44A07"/>
    <w:rsid w:val="00C46895"/>
    <w:rsid w:val="00C66ACF"/>
    <w:rsid w:val="00CA2ADE"/>
    <w:rsid w:val="00CA70F2"/>
    <w:rsid w:val="00CB3188"/>
    <w:rsid w:val="00CC2A43"/>
    <w:rsid w:val="00CD44AF"/>
    <w:rsid w:val="00CF4D2B"/>
    <w:rsid w:val="00CF6931"/>
    <w:rsid w:val="00D1280B"/>
    <w:rsid w:val="00D2339D"/>
    <w:rsid w:val="00D35ECF"/>
    <w:rsid w:val="00D44818"/>
    <w:rsid w:val="00D6047C"/>
    <w:rsid w:val="00D626A7"/>
    <w:rsid w:val="00D85B1C"/>
    <w:rsid w:val="00DA4966"/>
    <w:rsid w:val="00DC505B"/>
    <w:rsid w:val="00DC702B"/>
    <w:rsid w:val="00DD6586"/>
    <w:rsid w:val="00DD78BE"/>
    <w:rsid w:val="00DF6C74"/>
    <w:rsid w:val="00E06E90"/>
    <w:rsid w:val="00E30E32"/>
    <w:rsid w:val="00E32DB4"/>
    <w:rsid w:val="00E35BEF"/>
    <w:rsid w:val="00E453EB"/>
    <w:rsid w:val="00E52AC5"/>
    <w:rsid w:val="00E53A7A"/>
    <w:rsid w:val="00E56D7C"/>
    <w:rsid w:val="00E71A59"/>
    <w:rsid w:val="00E7294B"/>
    <w:rsid w:val="00E92577"/>
    <w:rsid w:val="00E95906"/>
    <w:rsid w:val="00EA4169"/>
    <w:rsid w:val="00EB303A"/>
    <w:rsid w:val="00EB3F45"/>
    <w:rsid w:val="00EC232C"/>
    <w:rsid w:val="00ED2E7A"/>
    <w:rsid w:val="00ED4B85"/>
    <w:rsid w:val="00ED5AF4"/>
    <w:rsid w:val="00F01483"/>
    <w:rsid w:val="00F02A9B"/>
    <w:rsid w:val="00F2734B"/>
    <w:rsid w:val="00F44203"/>
    <w:rsid w:val="00F719A0"/>
    <w:rsid w:val="00F86F86"/>
    <w:rsid w:val="00F928CE"/>
    <w:rsid w:val="00FA2912"/>
    <w:rsid w:val="00FB554D"/>
    <w:rsid w:val="00FC3EF4"/>
    <w:rsid w:val="00FD5546"/>
    <w:rsid w:val="00FF5E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5:docId w15:val="{4F408A70-50B2-47E9-920A-A089CAD0D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D44AF"/>
    <w:pPr>
      <w:spacing w:after="160" w:line="259" w:lineRule="auto"/>
    </w:pPr>
    <w:rPr>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99"/>
    <w:rsid w:val="00C66AC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
    <w:name w:val="CM1"/>
    <w:basedOn w:val="Normale"/>
    <w:next w:val="Normale"/>
    <w:uiPriority w:val="99"/>
    <w:rsid w:val="00733C79"/>
    <w:pPr>
      <w:autoSpaceDE w:val="0"/>
      <w:autoSpaceDN w:val="0"/>
      <w:adjustRightInd w:val="0"/>
      <w:spacing w:after="0" w:line="240" w:lineRule="auto"/>
    </w:pPr>
    <w:rPr>
      <w:rFonts w:ascii="EUAlbertina" w:hAnsi="EUAlbertina"/>
      <w:sz w:val="24"/>
      <w:szCs w:val="24"/>
    </w:rPr>
  </w:style>
  <w:style w:type="paragraph" w:customStyle="1" w:styleId="CM3">
    <w:name w:val="CM3"/>
    <w:basedOn w:val="Normale"/>
    <w:next w:val="Normale"/>
    <w:uiPriority w:val="99"/>
    <w:rsid w:val="00733C79"/>
    <w:pPr>
      <w:autoSpaceDE w:val="0"/>
      <w:autoSpaceDN w:val="0"/>
      <w:adjustRightInd w:val="0"/>
      <w:spacing w:after="0" w:line="240" w:lineRule="auto"/>
    </w:pPr>
    <w:rPr>
      <w:rFonts w:ascii="EUAlbertina" w:hAnsi="EUAlbertina"/>
      <w:sz w:val="24"/>
      <w:szCs w:val="24"/>
    </w:rPr>
  </w:style>
  <w:style w:type="paragraph" w:styleId="Sottotitolo">
    <w:name w:val="Subtitle"/>
    <w:basedOn w:val="Normale"/>
    <w:next w:val="Normale"/>
    <w:link w:val="SottotitoloCarattere"/>
    <w:uiPriority w:val="99"/>
    <w:qFormat/>
    <w:rsid w:val="00CF6931"/>
    <w:pPr>
      <w:numPr>
        <w:ilvl w:val="1"/>
      </w:numPr>
    </w:pPr>
    <w:rPr>
      <w:rFonts w:eastAsia="Times New Roman"/>
      <w:color w:val="5A5A5A"/>
      <w:spacing w:val="15"/>
    </w:rPr>
  </w:style>
  <w:style w:type="character" w:customStyle="1" w:styleId="SottotitoloCarattere">
    <w:name w:val="Sottotitolo Carattere"/>
    <w:basedOn w:val="Carpredefinitoparagrafo"/>
    <w:link w:val="Sottotitolo"/>
    <w:uiPriority w:val="99"/>
    <w:locked/>
    <w:rsid w:val="00CF6931"/>
    <w:rPr>
      <w:rFonts w:eastAsia="Times New Roman" w:cs="Times New Roman"/>
      <w:color w:val="5A5A5A"/>
      <w:spacing w:val="15"/>
    </w:rPr>
  </w:style>
  <w:style w:type="paragraph" w:styleId="Intestazione">
    <w:name w:val="header"/>
    <w:basedOn w:val="Normale"/>
    <w:link w:val="IntestazioneCarattere"/>
    <w:uiPriority w:val="99"/>
    <w:rsid w:val="00C44A0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C44A07"/>
    <w:rPr>
      <w:rFonts w:cs="Times New Roman"/>
    </w:rPr>
  </w:style>
  <w:style w:type="paragraph" w:styleId="Pidipagina">
    <w:name w:val="footer"/>
    <w:basedOn w:val="Normale"/>
    <w:link w:val="PidipaginaCarattere"/>
    <w:uiPriority w:val="99"/>
    <w:rsid w:val="00C44A0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C44A07"/>
    <w:rPr>
      <w:rFonts w:cs="Times New Roman"/>
    </w:rPr>
  </w:style>
  <w:style w:type="paragraph" w:customStyle="1" w:styleId="CM4">
    <w:name w:val="CM4"/>
    <w:basedOn w:val="Normale"/>
    <w:next w:val="Normale"/>
    <w:uiPriority w:val="99"/>
    <w:rsid w:val="004D694D"/>
    <w:pPr>
      <w:autoSpaceDE w:val="0"/>
      <w:autoSpaceDN w:val="0"/>
      <w:adjustRightInd w:val="0"/>
      <w:spacing w:after="0" w:line="240" w:lineRule="auto"/>
    </w:pPr>
    <w:rPr>
      <w:rFonts w:ascii="EUAlbertina" w:hAnsi="EUAlbertina"/>
      <w:sz w:val="24"/>
      <w:szCs w:val="24"/>
    </w:rPr>
  </w:style>
  <w:style w:type="paragraph" w:customStyle="1" w:styleId="CharCharCharCharCharChar1Char">
    <w:name w:val="Char Char Char Char Char Char1 Char"/>
    <w:basedOn w:val="Normale"/>
    <w:uiPriority w:val="99"/>
    <w:rsid w:val="004D694D"/>
    <w:pPr>
      <w:spacing w:after="0" w:line="240" w:lineRule="auto"/>
    </w:pPr>
    <w:rPr>
      <w:rFonts w:ascii="Times New Roman" w:eastAsia="Times New Roman" w:hAnsi="Times New Roman"/>
      <w:sz w:val="24"/>
      <w:szCs w:val="24"/>
      <w:lang w:val="pl-PL" w:eastAsia="pl-PL"/>
    </w:rPr>
  </w:style>
  <w:style w:type="character" w:styleId="Numeropagina">
    <w:name w:val="page number"/>
    <w:basedOn w:val="Carpredefinitoparagrafo"/>
    <w:uiPriority w:val="99"/>
    <w:rsid w:val="000E01CA"/>
    <w:rPr>
      <w:rFonts w:cs="Times New Roman"/>
    </w:rPr>
  </w:style>
  <w:style w:type="paragraph" w:styleId="Testonotaapidipagina">
    <w:name w:val="footnote text"/>
    <w:basedOn w:val="Normale"/>
    <w:link w:val="TestonotaapidipaginaCarattere"/>
    <w:uiPriority w:val="99"/>
    <w:semiHidden/>
    <w:rsid w:val="00507875"/>
    <w:rPr>
      <w:sz w:val="20"/>
      <w:szCs w:val="20"/>
    </w:rPr>
  </w:style>
  <w:style w:type="character" w:customStyle="1" w:styleId="TestonotaapidipaginaCarattere">
    <w:name w:val="Testo nota a piè di pagina Carattere"/>
    <w:basedOn w:val="Carpredefinitoparagrafo"/>
    <w:link w:val="Testonotaapidipagina"/>
    <w:uiPriority w:val="99"/>
    <w:semiHidden/>
    <w:locked/>
    <w:rsid w:val="00F928CE"/>
    <w:rPr>
      <w:rFonts w:cs="Times New Roman"/>
      <w:sz w:val="20"/>
      <w:szCs w:val="20"/>
      <w:lang w:eastAsia="en-US"/>
    </w:rPr>
  </w:style>
  <w:style w:type="character" w:styleId="Rimandonotaapidipagina">
    <w:name w:val="footnote reference"/>
    <w:basedOn w:val="Carpredefinitoparagrafo"/>
    <w:uiPriority w:val="99"/>
    <w:semiHidden/>
    <w:rsid w:val="00507875"/>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57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3710</Words>
  <Characters>21153</Characters>
  <Application>Microsoft Office Word</Application>
  <DocSecurity>0</DocSecurity>
  <Lines>176</Lines>
  <Paragraphs>49</Paragraphs>
  <ScaleCrop>false</ScaleCrop>
  <HeadingPairs>
    <vt:vector size="2" baseType="variant">
      <vt:variant>
        <vt:lpstr>Titolo</vt:lpstr>
      </vt:variant>
      <vt:variant>
        <vt:i4>1</vt:i4>
      </vt:variant>
    </vt:vector>
  </HeadingPairs>
  <TitlesOfParts>
    <vt:vector size="1" baseType="lpstr">
      <vt:lpstr>Tabella comparazione Regolamenti 2014-2020 / 2007-2013</vt:lpstr>
    </vt:vector>
  </TitlesOfParts>
  <Company/>
  <LinksUpToDate>false</LinksUpToDate>
  <CharactersWithSpaces>24814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Tabella comparazione Regolamenti 2014-2020 / 2007-2013</dc:title>
  <dc:subject/>
  <dc:creator>Michela Fagioli</dc:creator>
  <cp:keywords/>
  <dc:description/>
  <cp:lastModifiedBy>Rosita Tombesi</cp:lastModifiedBy>
  <cp:revision>3</cp:revision>
  <cp:lastPrinted>2014-02-10T15:27:00Z</cp:lastPrinted>
  <dcterms:created xsi:type="dcterms:W3CDTF">2014-05-16T11:06:00Z</dcterms:created>
  <dcterms:modified xsi:type="dcterms:W3CDTF">2014-05-19T14:07:00Z</dcterms:modified>
</cp:coreProperties>
</file>